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23" w:rsidRPr="00870F9E" w:rsidRDefault="00D70723" w:rsidP="00D70723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</w:rPr>
      </w:pPr>
      <w:r w:rsidRPr="00870F9E">
        <w:rPr>
          <w:rFonts w:ascii="Arial" w:hAnsi="Arial"/>
          <w:b/>
          <w:color w:val="000000" w:themeColor="text1"/>
          <w:sz w:val="24"/>
        </w:rPr>
        <w:t>Autor: Maestro en Derecho Damián</w:t>
      </w:r>
      <w:r>
        <w:rPr>
          <w:rFonts w:ascii="Arial" w:hAnsi="Arial"/>
          <w:b/>
          <w:color w:val="000000" w:themeColor="text1"/>
          <w:sz w:val="24"/>
        </w:rPr>
        <w:t xml:space="preserve"> </w:t>
      </w:r>
      <w:r w:rsidRPr="00870F9E">
        <w:rPr>
          <w:rFonts w:ascii="Arial" w:hAnsi="Arial"/>
          <w:b/>
          <w:color w:val="000000" w:themeColor="text1"/>
          <w:sz w:val="24"/>
        </w:rPr>
        <w:t>Arévalo Orozco</w:t>
      </w:r>
    </w:p>
    <w:p w:rsidR="00D70723" w:rsidRPr="00870F9E" w:rsidRDefault="00D70723" w:rsidP="00D70723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</w:rPr>
      </w:pPr>
      <w:r w:rsidRPr="00870F9E">
        <w:rPr>
          <w:rFonts w:ascii="Arial" w:hAnsi="Arial"/>
          <w:b/>
          <w:color w:val="000000" w:themeColor="text1"/>
          <w:sz w:val="24"/>
        </w:rPr>
        <w:t>Facultad de Derecho y Ciencias Sociales de la UMSNH</w:t>
      </w:r>
    </w:p>
    <w:p w:rsidR="005856C1" w:rsidRDefault="005856C1" w:rsidP="005856C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:rsidR="00110FA4" w:rsidRDefault="00110FA4" w:rsidP="00D13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D70723" w:rsidRDefault="00D70723" w:rsidP="00D132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2239D0" w:rsidRPr="00543EA0" w:rsidRDefault="002239D0" w:rsidP="00543EA0">
      <w:pPr>
        <w:spacing w:after="0" w:line="360" w:lineRule="auto"/>
        <w:jc w:val="both"/>
        <w:rPr>
          <w:rFonts w:ascii="Arial" w:hAnsi="Arial"/>
          <w:b/>
          <w:color w:val="000000" w:themeColor="text1"/>
          <w:sz w:val="24"/>
        </w:rPr>
      </w:pPr>
      <w:r w:rsidRPr="00543EA0">
        <w:rPr>
          <w:rFonts w:ascii="Arial" w:hAnsi="Arial"/>
          <w:b/>
          <w:color w:val="000000" w:themeColor="text1"/>
          <w:sz w:val="24"/>
        </w:rPr>
        <w:t>NECESIDAD DE LA SOCIEDAD AL ENTORNO DEL SISTEMA LIBERAL CAPITALISTA</w:t>
      </w:r>
    </w:p>
    <w:p w:rsidR="00CE0F98" w:rsidRPr="00543EA0" w:rsidRDefault="00CE0F98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bookmarkStart w:id="0" w:name="_GoBack"/>
      <w:bookmarkEnd w:id="0"/>
      <w:r w:rsidRPr="00543EA0">
        <w:rPr>
          <w:rFonts w:ascii="Arial" w:hAnsi="Arial"/>
          <w:color w:val="000000" w:themeColor="text1"/>
          <w:sz w:val="24"/>
        </w:rPr>
        <w:t>Tomaré como punto de partida dos factores históricos de largo plazo que, todavía hoy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afectan el desarrollo de América Latina </w:t>
      </w:r>
      <w:r w:rsidR="001D2975" w:rsidRPr="00543EA0">
        <w:rPr>
          <w:rFonts w:ascii="Arial" w:hAnsi="Arial"/>
          <w:color w:val="000000" w:themeColor="text1"/>
          <w:sz w:val="24"/>
        </w:rPr>
        <w:t>entintando</w:t>
      </w:r>
      <w:r w:rsidRPr="00543EA0">
        <w:rPr>
          <w:rFonts w:ascii="Arial" w:hAnsi="Arial"/>
          <w:color w:val="000000" w:themeColor="text1"/>
          <w:sz w:val="24"/>
        </w:rPr>
        <w:t xml:space="preserve"> con rasgos propios la evolución de sus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instituciones, tanto las del capitalismo como las de la democracia. El primero de esos factores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es la instalación y larga permanencia de instituciones coloniales que operaron durante varios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siglos bajo el dominio de los imperios ibéricos. La segunda </w:t>
      </w:r>
      <w:r w:rsidR="001D2975" w:rsidRPr="00543EA0">
        <w:rPr>
          <w:rFonts w:ascii="Arial" w:hAnsi="Arial"/>
          <w:color w:val="000000" w:themeColor="text1"/>
          <w:sz w:val="24"/>
        </w:rPr>
        <w:t>concierne</w:t>
      </w:r>
      <w:r w:rsidRPr="00543EA0">
        <w:rPr>
          <w:rFonts w:ascii="Arial" w:hAnsi="Arial"/>
          <w:color w:val="000000" w:themeColor="text1"/>
          <w:sz w:val="24"/>
        </w:rPr>
        <w:t xml:space="preserve"> a las modalidades de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incorporación del progreso técnico proveniente de las revoluciones industriales que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sucesivamente modelaron el capitalismo de las naciones industrializadas de occidente e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influyeron en la condición periférica de </w:t>
      </w:r>
      <w:r w:rsidR="007F24B0" w:rsidRPr="00543EA0">
        <w:rPr>
          <w:rFonts w:ascii="Arial" w:hAnsi="Arial"/>
          <w:color w:val="000000" w:themeColor="text1"/>
          <w:sz w:val="24"/>
        </w:rPr>
        <w:t>América Latina</w:t>
      </w:r>
      <w:r w:rsidRPr="00543EA0">
        <w:rPr>
          <w:rFonts w:ascii="Arial" w:hAnsi="Arial"/>
          <w:color w:val="000000" w:themeColor="text1"/>
          <w:sz w:val="24"/>
        </w:rPr>
        <w:t>.</w:t>
      </w:r>
    </w:p>
    <w:p w:rsidR="00113CB1" w:rsidRPr="00543EA0" w:rsidRDefault="00113CB1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Respecto de la herencia colonial los dos factores más perdurables fueron primero la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desigualdad social rural derivada de las formas de servidumbre y esclavitud campesina que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predominaron en las haciendas señoriales y en las plantaciones tropicales, y se tradujeron enun rasgo que también se hizo extensivo a las formas rurales menos comprometidas con esos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regímenes como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fue el caso de la pampa húmeda de </w:t>
      </w:r>
      <w:r w:rsidRPr="00543EA0">
        <w:rPr>
          <w:rFonts w:ascii="Arial" w:hAnsi="Arial"/>
          <w:color w:val="000000" w:themeColor="text1"/>
          <w:sz w:val="24"/>
        </w:rPr>
        <w:t>Argentina. En todos los casos sin excepción</w:t>
      </w:r>
      <w:r w:rsidR="001D297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 distribución de la propiedad de la tierra, y del poder social y político rural fue en América</w:t>
      </w:r>
      <w:r w:rsidR="001D297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Latina una fuente perdurable de desigualdad. El segundo factor corresponde a la herencia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burocrática centralista de la dominación colonial que modeló el perfil territorialmente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="001D2975" w:rsidRPr="00543EA0">
        <w:rPr>
          <w:rFonts w:ascii="Arial" w:hAnsi="Arial"/>
          <w:color w:val="000000" w:themeColor="text1"/>
          <w:sz w:val="24"/>
        </w:rPr>
        <w:t>concentrado del</w:t>
      </w:r>
      <w:r w:rsidRPr="00543EA0">
        <w:rPr>
          <w:rFonts w:ascii="Arial" w:hAnsi="Arial"/>
          <w:color w:val="000000" w:themeColor="text1"/>
          <w:sz w:val="24"/>
        </w:rPr>
        <w:t xml:space="preserve"> diseño territorial urbano, y dio fuerza a las formas presidencialistas y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personalistas apoyadas en modalidades clientelistas y populistas de gobierno tan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características de los sistemas políticos latinoamericanos tras el proceso de independencia.</w:t>
      </w:r>
    </w:p>
    <w:p w:rsidR="00113CB1" w:rsidRPr="00543EA0" w:rsidRDefault="00113CB1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BA0F3A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Las Revoluciones políticas Francesa y Americana de fines del siglo XVIII que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implantaron las formas modernas de la democracia liberal, influyeron ideológicamente en las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elites latinoamericanas y contribuyeron a la elección de constituciones políticas de base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democrática en toda la América Española. Pero las instituciones formales de la democracia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tardaron mucho en penetrar en los sistemas políticos vigentes, y quizá recién ahora podamos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decir que están formando parte permanente de la cultura política latinoamericana. En el siglo</w:t>
      </w:r>
      <w:r w:rsidR="001D297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lastRenderedPageBreak/>
        <w:t>XIX la dicotomía rural-urbana se expresó políticamente en otra dicotomía de los sistemas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políticos, la del contrapunto entre conservadores y liberales que modeló la dinámica de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fuerzas políticas durante el período oligárquico. </w:t>
      </w: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El quiebre de esa dominación oligárquica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revolucionó el orden político latinoamericano a lo largo del siglo XX pero no logró superar su</w:t>
      </w:r>
      <w:r w:rsidR="001D297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estilo burocrático autoritario que hunde sus raíces profundas en la herencia colonial.</w:t>
      </w:r>
    </w:p>
    <w:p w:rsidR="00113CB1" w:rsidRPr="00543EA0" w:rsidRDefault="00113CB1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El siglo XIX, en su segunda mitad fue el período donde comenzó a operar el segundo</w:t>
      </w:r>
      <w:r w:rsidR="001D297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los factores de largo plazo, que fue señalado por la Escuela Latinoamericana del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Desarrollo, el que aún influye como elemento transformador principal de las instituciones</w:t>
      </w:r>
      <w:r w:rsidR="001D297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económicas y políticas contemporáneas de América Latina. Es de naturaleza dinámica, y</w:t>
      </w:r>
      <w:r w:rsidR="001D297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expresa un patrón de relacionamiento internacional (así denominado centro-periferia) que fue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históricamente cambiante en sus rasgos concretos para cada una de las grandes revoluciones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tecnológicas del orden capitalista, pero siempre implicó la principal fuerza transformadora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externa del desarrollo latinoamericano. Me refiero al cambio técnico generado en los grandes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centros del orden internacional y traducido especialmente en tres grandes mutaciones</w:t>
      </w:r>
      <w:r w:rsidR="00BE0D9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tecnológicas: La Revolución Industrial Británica de fines del siglo XVIII (máquina de vapor,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acero, ferrocarriles, barcos de vapor, etc.), la Revolución Industrial Norteamericana de fines</w:t>
      </w:r>
      <w:r w:rsidR="001D297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del siglo XIX y comienzos del XX (electricidad, petróleo, petroquímica, motor de combustión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interna, electrónica, gran industria, taylorismo, etc.), y la actual Revolución en las tecnologías</w:t>
      </w:r>
      <w:r w:rsidR="00BD0D9D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la información (informática, telecomunicaciones, telemática, biogenética, exploración</w:t>
      </w:r>
      <w:r w:rsidR="001D297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sistemática del espacio exterior, etc.), que también es predominantemente norteamericana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pero abarca con rapidez a todas las regi</w:t>
      </w:r>
      <w:r w:rsidR="00BE0D95" w:rsidRPr="00543EA0">
        <w:rPr>
          <w:rFonts w:ascii="Arial" w:hAnsi="Arial"/>
          <w:color w:val="000000" w:themeColor="text1"/>
          <w:sz w:val="24"/>
        </w:rPr>
        <w:t>ones del mundo</w:t>
      </w:r>
      <w:r w:rsidRPr="00543EA0">
        <w:rPr>
          <w:rFonts w:ascii="Arial" w:hAnsi="Arial"/>
          <w:color w:val="000000" w:themeColor="text1"/>
          <w:sz w:val="24"/>
        </w:rPr>
        <w:t>.</w:t>
      </w:r>
    </w:p>
    <w:p w:rsidR="00113CB1" w:rsidRPr="00543EA0" w:rsidRDefault="00113CB1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113CB1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El impacto de esos grandes cambios tecnológicos experimentados a lo largo del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desarrollo capitalista sobre las sociedades latinoamericanas fue el hilo conductor que permitió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 los científicos sociales de la Escuela Latinoamericana del Desarrollo vinculada con las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aportaciones fundacionales de la </w:t>
      </w:r>
      <w:r w:rsidR="00EF0351" w:rsidRPr="00543EA0">
        <w:rPr>
          <w:rFonts w:ascii="Arial" w:hAnsi="Arial"/>
          <w:color w:val="000000" w:themeColor="text1"/>
          <w:sz w:val="24"/>
        </w:rPr>
        <w:t>Comisión Económica para América Latina</w:t>
      </w:r>
      <w:r w:rsidRPr="00543EA0">
        <w:rPr>
          <w:rFonts w:ascii="Arial" w:hAnsi="Arial"/>
          <w:color w:val="000000" w:themeColor="text1"/>
          <w:sz w:val="24"/>
        </w:rPr>
        <w:t>, plantear sus interpretaciones históricas sobre las</w:t>
      </w:r>
      <w:r w:rsidR="00BD0D9D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modalidades concretas del desa</w:t>
      </w:r>
      <w:r w:rsidR="00EF0351" w:rsidRPr="00543EA0">
        <w:rPr>
          <w:rFonts w:ascii="Arial" w:hAnsi="Arial"/>
          <w:color w:val="000000" w:themeColor="text1"/>
          <w:sz w:val="24"/>
        </w:rPr>
        <w:t>rrollo latinoamericano</w:t>
      </w:r>
      <w:r w:rsidRPr="00543EA0">
        <w:rPr>
          <w:rFonts w:ascii="Arial" w:hAnsi="Arial"/>
          <w:color w:val="000000" w:themeColor="text1"/>
          <w:sz w:val="24"/>
        </w:rPr>
        <w:t>.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Esta idea, de aplicabilidad transhistórica, relativa a la propagación de la técnica a</w:t>
      </w:r>
      <w:r w:rsidR="00BD0D9D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escala mundial y a la distribución y utilización de sus frutos sigue abriendo el camino a la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comprensión del desarrollo latinoamericano, incluyendo el de nuestra patria. Sin embargo las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lastRenderedPageBreak/>
        <w:t>formas concretas a través de las cuales el progreso técnico actual impacta las sociedades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periféricas del siglo XXI, ya no son las que Prebisch, o Furtado estudiaban en los años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cincuenta. La distribución de las ganancias de productividad en el plano internacional no se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verifica única ni fundamentalmente a través del comercio de bienes.</w:t>
      </w:r>
    </w:p>
    <w:p w:rsidR="00D70723" w:rsidRPr="00543EA0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En esta etapa del capitalismo global los jugadores económicos principales son las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corporaciones transnacionales que controlan el progreso técnico originado en las sociedades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centrales donde asientan sus casas matrices, e influyen decisivamente en la formulación y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aplicación de las reglas que emanan de los organismos multilaterales como el Banco Mundial,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el Fondo Monetario Internacional o la Organización Mundial del Comercio. </w:t>
      </w: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Estas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corporaciones operan e influyen a través del cabildeo operado en sus países de origen o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haciendo uso de su propio poder económico, no sólo a esta escala global, sino también en el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ámbito regional para fijar reglas como el Acuerdo de Libre Comercio de América del Norte o el, por ahora frustrado, Acuerdo de Libre</w:t>
      </w:r>
      <w:r w:rsidR="00EF0351" w:rsidRPr="00543EA0">
        <w:rPr>
          <w:rFonts w:ascii="Arial" w:hAnsi="Arial"/>
          <w:color w:val="000000" w:themeColor="text1"/>
          <w:sz w:val="24"/>
        </w:rPr>
        <w:t xml:space="preserve"> Comercio de las Américas</w:t>
      </w:r>
      <w:r w:rsidRPr="00543EA0">
        <w:rPr>
          <w:rFonts w:ascii="Arial" w:hAnsi="Arial"/>
          <w:color w:val="000000" w:themeColor="text1"/>
          <w:sz w:val="24"/>
        </w:rPr>
        <w:t>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Los estilos y estrategias de desarrollo instalados en toda América Latina a partir de los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años noventa del siglo XX, son funcionales a las reglas de juego del capitalismo global: la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caída de las barreras a los movimientos de bienes, servicios y capitales, tanto productivos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como financieros; la mayor presencia privada y transnacional en la asignación de los recursos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económicos; y sobre todo las reformas reguladoras en campos tan vitales como las inversiones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extranjeras, los servicios públicos, la propiedad intelectual, las normas sobre competencia, las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compras gubernamentales, las políticas cambiarias y monetarias, la flexibilización de los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mercados de trabajo, la administración de fondos de pensiones y jubilaciones, la privatización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y desregulación de los servicios de salud, de educación, de transporte público interurbano, la</w:t>
      </w:r>
      <w:r w:rsidR="001D297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privatización parcial de los mecanismos e instrumentos para la seguridad ciudadana, etc. </w:t>
      </w: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Estas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nuevas modalidades de apertura, de privatización y de regulación afines con la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="00501DEE" w:rsidRPr="00543EA0">
        <w:rPr>
          <w:rFonts w:ascii="Arial" w:hAnsi="Arial"/>
          <w:color w:val="000000" w:themeColor="text1"/>
          <w:sz w:val="24"/>
        </w:rPr>
        <w:t>transnacionalización</w:t>
      </w:r>
      <w:r w:rsidRPr="00543EA0">
        <w:rPr>
          <w:rFonts w:ascii="Arial" w:hAnsi="Arial"/>
          <w:color w:val="000000" w:themeColor="text1"/>
          <w:sz w:val="24"/>
        </w:rPr>
        <w:t xml:space="preserve"> de los mercados, configuran los estilos y estrategias de desarrollo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establecidos en toda América Latina a partir de los años noventa del siglo XX.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lastRenderedPageBreak/>
        <w:t>La lógica transnacional en las actividades primarias, manufactureras y de servicios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determina una creciente concentración de las ganancias de productividad constitutivas del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excedente empresarial, las que, bajo las reglas de juego del proceso de globalización pueden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reinvertirse en territorios muy diferentes a aquellos en donde esas ganancias se produjeron.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 xml:space="preserve">Esto no sólo se verifica en las formas </w:t>
      </w:r>
      <w:r w:rsidR="00501DEE" w:rsidRPr="00543EA0">
        <w:rPr>
          <w:rFonts w:ascii="Arial" w:hAnsi="Arial"/>
          <w:color w:val="000000" w:themeColor="text1"/>
          <w:sz w:val="24"/>
        </w:rPr>
        <w:t>más</w:t>
      </w:r>
      <w:r w:rsidRPr="00543EA0">
        <w:rPr>
          <w:rFonts w:ascii="Arial" w:hAnsi="Arial"/>
          <w:color w:val="000000" w:themeColor="text1"/>
          <w:sz w:val="24"/>
        </w:rPr>
        <w:t xml:space="preserve"> tradicionales de la inversión extranjera en América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Latina por ejemplo minería, petróleo, servicios públicos, etc., sino también en las nuevas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modalidades de la inversión industrial vinculada a la existencia de cadenas y sistemas de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valor, en que piezas partes y componentes de diferentes orígenes se ensamblan para la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elaboración de productos globales. Estos procesos acontecen en ámbitos de planificación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transnacional organizados, sea bajo la modalidad de “maquila”, o bajo otras combinaciones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como las operadas, por dar un ejemplo, en la industria automotriz del M</w:t>
      </w:r>
      <w:r w:rsidR="001401AD" w:rsidRPr="00543EA0">
        <w:rPr>
          <w:rFonts w:ascii="Arial" w:hAnsi="Arial"/>
          <w:color w:val="000000" w:themeColor="text1"/>
          <w:sz w:val="24"/>
        </w:rPr>
        <w:t>ercado Común del Sur</w:t>
      </w:r>
      <w:r w:rsidRPr="00543EA0">
        <w:rPr>
          <w:rFonts w:ascii="Arial" w:hAnsi="Arial"/>
          <w:color w:val="000000" w:themeColor="text1"/>
          <w:sz w:val="24"/>
        </w:rPr>
        <w:t xml:space="preserve"> donde se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verifica la existencia de una transnacionalización regulada mediante acuerdos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gubernamentales, los que incluyen la participación negociada de las grandes productoras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automotrices.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Los servicios son el sector más dinámico y visible de la inversión transnacional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contemporánea, los vemos cotidianamente en los grandes </w:t>
      </w:r>
      <w:r w:rsidRPr="00543EA0">
        <w:rPr>
          <w:rFonts w:ascii="Arial" w:hAnsi="Arial"/>
          <w:iCs/>
          <w:color w:val="000000" w:themeColor="text1"/>
          <w:sz w:val="24"/>
        </w:rPr>
        <w:t xml:space="preserve">malls o shopping centres </w:t>
      </w:r>
      <w:r w:rsidRPr="00543EA0">
        <w:rPr>
          <w:rFonts w:ascii="Arial" w:hAnsi="Arial"/>
          <w:color w:val="000000" w:themeColor="text1"/>
          <w:sz w:val="24"/>
        </w:rPr>
        <w:t>que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proliferan en nuestras ciudades principales e intermedias, en las grandes cadenas de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supermercados, de banca, de hoteles, de empresas de seguridad, etc. los que forman parte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medular de las modalidades que adopta el capitalismo global en el siglo XXI.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A partir de la visión que la Escuela Latinoamericana del Desarrollo promovió desde la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="00EF0351" w:rsidRPr="00543EA0">
        <w:rPr>
          <w:rFonts w:ascii="Arial" w:hAnsi="Arial"/>
          <w:color w:val="000000" w:themeColor="text1"/>
          <w:sz w:val="24"/>
        </w:rPr>
        <w:t>Comisión Económica para América Latina</w:t>
      </w:r>
      <w:r w:rsidRPr="00543EA0">
        <w:rPr>
          <w:rFonts w:ascii="Arial" w:hAnsi="Arial"/>
          <w:color w:val="000000" w:themeColor="text1"/>
          <w:sz w:val="24"/>
        </w:rPr>
        <w:t xml:space="preserve"> nos interesa primero de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limitar cuáles son las formas principales de progreso técnico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que se están introduciendo en la región, cuáles son los impactos o frutos sociales de ese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progreso técnico en términos de empleo y de distribución de ingreso, y cuál es el destino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geográfico y social de las ganancias de productividad que forman el excedente de las grandes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empresas generadoras de la mayor parte de las inversiones. Dicho más sintéticamente, en el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viejo lenguaje “cepalino”, nos interesa saber cuál es la distribución social de los frutos del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progreso técnico introducido por las grandes transnacionales y reprocesado de acuerdo con los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intereses de los restantes operadores económicos de nuestros países.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lastRenderedPageBreak/>
        <w:t>El comercio internacional de bienes, y en particular el intercambio de manufacturas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por productos primarios, ya no constituyen el eje contemporáneo de las relaciones económicas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internacionales, ahora hay que incluir el comercio de servicios como los que ejemplificamos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más arriba, las transacciones en tecnología, y sob</w:t>
      </w:r>
      <w:r w:rsidR="002A0892" w:rsidRPr="00543EA0">
        <w:rPr>
          <w:rFonts w:ascii="Arial" w:hAnsi="Arial"/>
          <w:color w:val="000000" w:themeColor="text1"/>
          <w:sz w:val="24"/>
        </w:rPr>
        <w:t>re todo</w:t>
      </w:r>
      <w:r w:rsidRPr="00543EA0">
        <w:rPr>
          <w:rFonts w:ascii="Arial" w:hAnsi="Arial"/>
          <w:color w:val="000000" w:themeColor="text1"/>
          <w:sz w:val="24"/>
        </w:rPr>
        <w:t xml:space="preserve"> el papel protagónico de las empresas trasnacionalizadas en la asignación de los</w:t>
      </w:r>
      <w:r w:rsidR="00F95FB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recursos de inversión (excedentes derivados de sus ganancias de productividad, pero también</w:t>
      </w:r>
      <w:r w:rsidR="009B2E3C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sus posiciones oligopólicas y oligopsónicas de poder económico).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La distinción entre capital nacional y extranjero, resultaba mucho más clara durante el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estilo latinoamericano de desarrollo industrial protegido del período de posguerra, pero pierde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significación y nitidez, bajo los modos de operar del capital transnacional y lo que </w:t>
      </w:r>
      <w:r w:rsidR="00EB40D6" w:rsidRPr="00543EA0">
        <w:rPr>
          <w:rFonts w:ascii="Arial" w:hAnsi="Arial"/>
          <w:color w:val="000000" w:themeColor="text1"/>
          <w:sz w:val="24"/>
        </w:rPr>
        <w:t xml:space="preserve">interés </w:t>
      </w:r>
      <w:r w:rsidRPr="00543EA0">
        <w:rPr>
          <w:rFonts w:ascii="Arial" w:hAnsi="Arial"/>
          <w:color w:val="000000" w:themeColor="text1"/>
          <w:sz w:val="24"/>
        </w:rPr>
        <w:t>a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determinar es más bien el carácter global, regional o nacional de los ámbitos operativos de ese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capital. Uno de los rasgos definitorios del proceso de globalización actual es que los intereses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los grandes grupos empresariales nacionales con casas matrices en América Latina no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entran en contradicción con los intereses de los grupos transnacionales originados en los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países centrales. Esto deriva del hecho de que la propia globalización económica desdibuja o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anula los límites que separan los mercados nacionales de los mercados externos.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Partiendo de las nuevas fuentes tecnológicas que hoy determinan las ganancias de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productividad, se trata de detectar el monto y destino del excedente reinvertible por parte de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aquellas empresas (sean o no originadas en Latinoamérica) que operan a escala internacional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(vía comercio) o transnacional (vía inversión directa), y de averiguar cuáles son losmecanismos concretos a través de los cuales esa reinversión tiene lugar.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Estos puntos focales de análisi</w:t>
      </w:r>
      <w:r w:rsidR="009B2E3C" w:rsidRPr="00543EA0">
        <w:rPr>
          <w:rFonts w:ascii="Arial" w:hAnsi="Arial"/>
          <w:color w:val="000000" w:themeColor="text1"/>
          <w:sz w:val="24"/>
        </w:rPr>
        <w:t>s son una parte del tema que me</w:t>
      </w:r>
      <w:r w:rsidRPr="00543EA0">
        <w:rPr>
          <w:rFonts w:ascii="Arial" w:hAnsi="Arial"/>
          <w:color w:val="000000" w:themeColor="text1"/>
          <w:sz w:val="24"/>
        </w:rPr>
        <w:t xml:space="preserve"> ocupa y corresponden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 la esfera de la economía. Ellos expresan lo medular de la visión centro-periferia planteada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por la Escuela Latinoamericana del Desarrollo bajo las pautas fundacionales de la </w:t>
      </w:r>
      <w:r w:rsidR="00EF0351" w:rsidRPr="00543EA0">
        <w:rPr>
          <w:rFonts w:ascii="Arial" w:hAnsi="Arial"/>
          <w:color w:val="000000" w:themeColor="text1"/>
          <w:sz w:val="24"/>
        </w:rPr>
        <w:t>Comisión Económica para América Latina</w:t>
      </w:r>
      <w:r w:rsidRPr="00543EA0">
        <w:rPr>
          <w:rFonts w:ascii="Arial" w:hAnsi="Arial"/>
          <w:color w:val="000000" w:themeColor="text1"/>
          <w:sz w:val="24"/>
        </w:rPr>
        <w:t>. A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saber: el problema económico típico y central de la distribución y utilización social de las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ganancias de productividad inherentes al formidable poder expansivo de los sistemas</w:t>
      </w:r>
      <w:r w:rsidR="002A0892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capitalistas.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lastRenderedPageBreak/>
        <w:t>El otro tema de gran importancia es de naturaleza sociopolítica, y alude a la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interacción que, en nuestras sociedades periféricas, se establece entre las reglas de juego del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capitalismo y las de la democracia. Dicho de manera ultra simplificada se trata de la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interacción entre los derechos patrimoniales (de propiedad) de las personas jurídicas que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operan como los jugadores económicos más importantes vis-a-vis los derechos humanos,</w:t>
      </w:r>
      <w:r w:rsidR="00BE0D9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(civiles, políticos, y socioeconómicos) de los ciudadanos que se ven afectados por el impacto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del capitalismo global.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En esta esfera sociopolítica también cabe expresar otra tesis central de este trabajo, la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que solamente el fortalecimiento de la democracia política social y económica puede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preservar los intereses ciudadanos de una manera que sin anular la enorme capacidad de crear</w:t>
      </w:r>
      <w:r w:rsidR="009E0019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riqueza (expandir la productividad) de las organizaciones e instituciones propias del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capitalismo transnacional, logre controlarlas socialmente para la preservación del bien común.</w:t>
      </w:r>
    </w:p>
    <w:p w:rsidR="00312D77" w:rsidRPr="00543EA0" w:rsidRDefault="00312D77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Históricamente, el capitalismo, como realidad tangible en la cual estamos inmersos se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desenvolvió en interacción dinámica con la democracia, al menos en las sociedades más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desarrolladas del mundo occidental. Sin embargo la evolución de la democracia en América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Latina siguió sus propios derroteros que son inherentes a la condición periférica de sus</w:t>
      </w:r>
      <w:r w:rsidR="009B2E3C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economías.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Los factores de la herencia</w:t>
      </w:r>
      <w:r w:rsidR="009A34B6" w:rsidRPr="00543EA0">
        <w:rPr>
          <w:rFonts w:ascii="Arial" w:hAnsi="Arial"/>
          <w:color w:val="000000" w:themeColor="text1"/>
          <w:sz w:val="24"/>
        </w:rPr>
        <w:t xml:space="preserve"> colonial, consolidados durante</w:t>
      </w:r>
      <w:r w:rsidRPr="00543EA0">
        <w:rPr>
          <w:rFonts w:ascii="Arial" w:hAnsi="Arial"/>
          <w:color w:val="000000" w:themeColor="text1"/>
          <w:sz w:val="24"/>
        </w:rPr>
        <w:t xml:space="preserve"> el siglo XIX en el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funcionamiento de las formas periféricas del capitalismo y de la democracia, todavía hoy</w:t>
      </w:r>
      <w:r w:rsidR="009B2E3C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generan un impacto negativo sobre las oportunidades de desarrollo de nuestros países.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Respecto de la estructura social rural, y a pesar de los movimientos campesinos o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agraristas, y de las reformas agrarias efectivamente llevadas a cabo por algunos gobiernos en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los años cincuenta y sesenta del siglo XX, la sociedad rural latinoamericana sigue signada por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 desigualdad. El tema social rural ha perdido parte de su relevancia directa porque las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migraciones rural urbanas han reducido de manera decisiva la proporción de población rural,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con lo que los problemas de empleo y de desigualdad social se han transferido a las ciudades.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lastRenderedPageBreak/>
        <w:t>Sin embargo la concentrada apropiación de la tierra es un tema que ahora asume ribetes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diferentes y se expresa, precisamente en las formas sociales de apropiar el excedente glo</w:t>
      </w:r>
      <w:r w:rsidR="00EB40D6" w:rsidRPr="00543EA0">
        <w:rPr>
          <w:rFonts w:ascii="Arial" w:hAnsi="Arial"/>
          <w:color w:val="000000" w:themeColor="text1"/>
          <w:sz w:val="24"/>
        </w:rPr>
        <w:t xml:space="preserve">bal derivado de las ganancias de </w:t>
      </w:r>
      <w:r w:rsidRPr="00543EA0">
        <w:rPr>
          <w:rFonts w:ascii="Arial" w:hAnsi="Arial"/>
          <w:color w:val="000000" w:themeColor="text1"/>
          <w:sz w:val="24"/>
        </w:rPr>
        <w:t xml:space="preserve">productividad de </w:t>
      </w:r>
      <w:r w:rsidR="00EB40D6" w:rsidRPr="00543EA0">
        <w:rPr>
          <w:rFonts w:ascii="Arial" w:hAnsi="Arial"/>
          <w:color w:val="000000" w:themeColor="text1"/>
          <w:sz w:val="24"/>
        </w:rPr>
        <w:t>las empresas transnacionales y</w:t>
      </w:r>
      <w:r w:rsidRPr="00543EA0">
        <w:rPr>
          <w:rFonts w:ascii="Arial" w:hAnsi="Arial"/>
          <w:color w:val="000000" w:themeColor="text1"/>
          <w:sz w:val="24"/>
        </w:rPr>
        <w:t xml:space="preserve"> locales que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operan en la agricultura latinoamericana.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Respecto de la estructura del poder político el carácter presidencialista de los sistemas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políticos democráticos latinoamericanos expresa formas de centralización del poder que han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modelado nuestras sociedades desde sus orígenes. Esta centralizada forma de poder que es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característica de los sistemas políticos latinoamericanos se ha visto desafiada por el impacto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la globalización. Se han generado condiciones económicas que han transferido hacia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“arriba” es decir hacia el nivel global, muchos instrumentos de política pública que eran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privativos de la capacidad de maniobra de los gobiernos centrales. Esto ha reducido los grados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soberanía efectivamente detentados por los estados latinoamericanos.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Evidentemente la situación en que se encuentran las sociedades latinoamericanas en el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siglo XXI tiene una historia reciente y bien conocida. Los procesos políticos turbulentos de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los años cincuenta y sesenta, vinculados a las revoluciones violentas, y a los movimientos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guerrilleros, dieron lugar a los gobiernos militares autoritarios de los años setenta. Finalmente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 década de los ochenta presenció el retorno gradual a la democracia política de todas las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naciones latinoamericanas. De hecho existe una coincidencia histórica significativa: a partir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comienzos de los noventa todos los países latinoamericanos no sólo habían aceptado las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reglas de juego del capitalismo global, sino que además habían retornado a las reglas de juego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la democracia política. Se trata de una democracia inestable, con frecuentes crisis que</w:t>
      </w:r>
      <w:r w:rsidR="000136C7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derrumban gobiernos, pero con mecanismos constitucionales que se auto-reparan a </w:t>
      </w:r>
      <w:r w:rsidR="00501DEE" w:rsidRPr="00543EA0">
        <w:rPr>
          <w:rFonts w:ascii="Arial" w:hAnsi="Arial"/>
          <w:color w:val="000000" w:themeColor="text1"/>
          <w:sz w:val="24"/>
        </w:rPr>
        <w:t>sí</w:t>
      </w:r>
      <w:r w:rsidRPr="00543EA0">
        <w:rPr>
          <w:rFonts w:ascii="Arial" w:hAnsi="Arial"/>
          <w:color w:val="000000" w:themeColor="text1"/>
          <w:sz w:val="24"/>
        </w:rPr>
        <w:t xml:space="preserve"> mismos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sin intromisión de los tradicionales cuartelazos militares.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390558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Formulare</w:t>
      </w:r>
      <w:r w:rsidR="006130BB" w:rsidRPr="00543EA0">
        <w:rPr>
          <w:rFonts w:ascii="Arial" w:hAnsi="Arial"/>
          <w:color w:val="000000" w:themeColor="text1"/>
          <w:sz w:val="24"/>
        </w:rPr>
        <w:t xml:space="preserve"> dos preguntas. Primera: ¿Qué grado de perdurabilidad histórica cabría</w:t>
      </w:r>
      <w:r w:rsidRPr="00543EA0">
        <w:rPr>
          <w:rFonts w:ascii="Arial" w:hAnsi="Arial"/>
          <w:color w:val="000000" w:themeColor="text1"/>
          <w:sz w:val="24"/>
        </w:rPr>
        <w:t xml:space="preserve"> </w:t>
      </w:r>
      <w:r w:rsidR="006130BB" w:rsidRPr="00543EA0">
        <w:rPr>
          <w:rFonts w:ascii="Arial" w:hAnsi="Arial"/>
          <w:color w:val="000000" w:themeColor="text1"/>
          <w:sz w:val="24"/>
        </w:rPr>
        <w:t>pronosticar para esta nueva oleada de redemocratización que hoy presenciamos en América</w:t>
      </w:r>
      <w:r w:rsidRPr="00543EA0">
        <w:rPr>
          <w:rFonts w:ascii="Arial" w:hAnsi="Arial"/>
          <w:color w:val="000000" w:themeColor="text1"/>
          <w:sz w:val="24"/>
        </w:rPr>
        <w:t xml:space="preserve"> </w:t>
      </w:r>
      <w:r w:rsidR="006130BB" w:rsidRPr="00543EA0">
        <w:rPr>
          <w:rFonts w:ascii="Arial" w:hAnsi="Arial"/>
          <w:color w:val="000000" w:themeColor="text1"/>
          <w:sz w:val="24"/>
        </w:rPr>
        <w:t>Latina? Y segunda: ¿Qué acciones estratégicas conjuntas podrían ensayar los estados</w:t>
      </w:r>
      <w:r w:rsidRPr="00543EA0">
        <w:rPr>
          <w:rFonts w:ascii="Arial" w:hAnsi="Arial"/>
          <w:color w:val="000000" w:themeColor="text1"/>
          <w:sz w:val="24"/>
        </w:rPr>
        <w:t xml:space="preserve"> </w:t>
      </w:r>
      <w:r w:rsidR="006130BB" w:rsidRPr="00543EA0">
        <w:rPr>
          <w:rFonts w:ascii="Arial" w:hAnsi="Arial"/>
          <w:color w:val="000000" w:themeColor="text1"/>
          <w:sz w:val="24"/>
        </w:rPr>
        <w:t>latinoamericanos para tratar de consolidar su flamante cultura democrática?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Un intento de respuesta a estos interrogantes exige introducir los vínculos que existen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entre el capitalismo global, la democracia latinoamericana y la necesidad de promover la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lastRenderedPageBreak/>
        <w:t>integración regional de nuestras naciones. La integración de las sociedades nacionales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latinoamericanas no debe confundirse con la integración tanto global como regional de los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mercados que estamos presenciando en la actualidad. Esta última forma de integración opera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bajo la lógica del capitalismo global en tanto que la primera sólo es concebible bajo la lógica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política de la democracia.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No se trata de eliminar ninguno de los dos componentes de la ecuación capitalismo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democracia,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sino de establecer las reglas que permitan el encuadramiento de los derechos de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propiedad de las grandes transnacionales, sean éstas latinoamericanas y/o de otros orígenes</w:t>
      </w:r>
      <w:r w:rsidR="00501DEE" w:rsidRPr="00543EA0">
        <w:rPr>
          <w:rFonts w:ascii="Arial" w:hAnsi="Arial"/>
          <w:color w:val="000000" w:themeColor="text1"/>
          <w:sz w:val="24"/>
        </w:rPr>
        <w:t>, dentro</w:t>
      </w:r>
      <w:r w:rsidRPr="00543EA0">
        <w:rPr>
          <w:rFonts w:ascii="Arial" w:hAnsi="Arial"/>
          <w:color w:val="000000" w:themeColor="text1"/>
          <w:sz w:val="24"/>
        </w:rPr>
        <w:t xml:space="preserve"> de los marcos reguladores que defienden los derechos ciudadanos propios de los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sistemas políticos democráticos. Esos que tanto trabajo le costó a América Latina reconquistar</w:t>
      </w:r>
      <w:r w:rsid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 partir de los años noventa.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En la producción y exportación de soja, los países de Sudamérica miembros del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</w:t>
      </w:r>
      <w:r w:rsidR="001401AD" w:rsidRPr="00543EA0">
        <w:rPr>
          <w:rFonts w:ascii="Arial" w:hAnsi="Arial"/>
          <w:color w:val="000000" w:themeColor="text1"/>
          <w:sz w:val="24"/>
        </w:rPr>
        <w:t>ercado Común del Sur</w:t>
      </w:r>
      <w:r w:rsidRPr="00543EA0">
        <w:rPr>
          <w:rFonts w:ascii="Arial" w:hAnsi="Arial"/>
          <w:color w:val="000000" w:themeColor="text1"/>
          <w:sz w:val="24"/>
        </w:rPr>
        <w:t xml:space="preserve"> usan semillas genéticamente modificadas que fueron o son provistas por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corporaciones transnacionales. Esas semillas </w:t>
      </w:r>
      <w:r w:rsidR="00EF0351" w:rsidRPr="00543EA0">
        <w:rPr>
          <w:rFonts w:ascii="Arial" w:hAnsi="Arial"/>
          <w:color w:val="000000" w:themeColor="text1"/>
          <w:sz w:val="24"/>
        </w:rPr>
        <w:t>genéticamente modificadas</w:t>
      </w:r>
      <w:r w:rsidRPr="00543EA0">
        <w:rPr>
          <w:rFonts w:ascii="Arial" w:hAnsi="Arial"/>
          <w:color w:val="000000" w:themeColor="text1"/>
          <w:sz w:val="24"/>
        </w:rPr>
        <w:t xml:space="preserve"> constituyen prácticamente el 100% de los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insumos utilizados por los agricultores argentinos para sembrar soja. Ahora bien la firma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Monsa</w:t>
      </w:r>
      <w:r w:rsidR="00EF0351" w:rsidRPr="00543EA0">
        <w:rPr>
          <w:rFonts w:ascii="Arial" w:hAnsi="Arial"/>
          <w:color w:val="000000" w:themeColor="text1"/>
          <w:sz w:val="24"/>
        </w:rPr>
        <w:t>nto proveedora de esas semillas</w:t>
      </w:r>
      <w:r w:rsidRPr="00543EA0">
        <w:rPr>
          <w:rFonts w:ascii="Arial" w:hAnsi="Arial"/>
          <w:color w:val="000000" w:themeColor="text1"/>
          <w:sz w:val="24"/>
        </w:rPr>
        <w:t>, reclama regalías con las que financia sus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actividades de investigación y desarrollo tendientes a seguir adelante con nuevos productos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genéticamente modificados. Esas semillas </w:t>
      </w:r>
      <w:r w:rsidR="00EF0351" w:rsidRPr="00543EA0">
        <w:rPr>
          <w:rFonts w:ascii="Arial" w:hAnsi="Arial"/>
          <w:color w:val="000000" w:themeColor="text1"/>
          <w:sz w:val="24"/>
        </w:rPr>
        <w:t>genéticamente modificadas</w:t>
      </w:r>
      <w:r w:rsidRPr="00543EA0">
        <w:rPr>
          <w:rFonts w:ascii="Arial" w:hAnsi="Arial"/>
          <w:color w:val="000000" w:themeColor="text1"/>
          <w:sz w:val="24"/>
        </w:rPr>
        <w:t xml:space="preserve"> tienen la propiedad de resistir los efectos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venenosos de un herbicida denominado </w:t>
      </w:r>
      <w:r w:rsidRPr="00543EA0">
        <w:rPr>
          <w:rFonts w:ascii="Arial" w:hAnsi="Arial"/>
          <w:iCs/>
          <w:color w:val="000000" w:themeColor="text1"/>
          <w:sz w:val="24"/>
        </w:rPr>
        <w:t xml:space="preserve">glifosato, </w:t>
      </w:r>
      <w:r w:rsidRPr="00543EA0">
        <w:rPr>
          <w:rFonts w:ascii="Arial" w:hAnsi="Arial"/>
          <w:color w:val="000000" w:themeColor="text1"/>
          <w:sz w:val="24"/>
        </w:rPr>
        <w:t>el que resulta altamente mortífero para las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malezas que compiten por la tierra con el cultivo de soja, pero también puede ser muy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perjudicial para todas las formas de vida incluyendo a los seres humanos que habitan en las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zonas ambientalmente afectadas por el proceso.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0F4679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Primero, las semillas modificadas aumentan la productividad agrícola y generan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ganancias de productividad cuya fuente está fuertemente controlada por </w:t>
      </w:r>
      <w:r w:rsidR="00BE0D95" w:rsidRPr="00543EA0">
        <w:rPr>
          <w:rFonts w:ascii="Arial" w:hAnsi="Arial"/>
          <w:color w:val="000000" w:themeColor="text1"/>
          <w:sz w:val="24"/>
        </w:rPr>
        <w:t>corporaciones transnacionales</w:t>
      </w:r>
      <w:r w:rsidRPr="00543EA0">
        <w:rPr>
          <w:rFonts w:ascii="Arial" w:hAnsi="Arial"/>
          <w:color w:val="000000" w:themeColor="text1"/>
          <w:sz w:val="24"/>
        </w:rPr>
        <w:t>. Estas ganancias de productividad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agrícola son compartidas por las transnacionales, por los productores y propietarios rurales y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por el propio gobierno central, que depende fiscalmente de ellas para desarrollar sus políticas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públicas. 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En efecto los impuestos a las exportaciones de granos, y, muy especialmente de la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soja son decisivos en el equilibrio y expansión del presupuesto público del gobierno central y</w:t>
      </w:r>
      <w:r w:rsidR="00501DEE" w:rsidRPr="00543EA0">
        <w:rPr>
          <w:rFonts w:ascii="Arial" w:hAnsi="Arial"/>
          <w:color w:val="000000" w:themeColor="text1"/>
          <w:sz w:val="24"/>
        </w:rPr>
        <w:t>, a</w:t>
      </w:r>
      <w:r w:rsidRPr="00543EA0">
        <w:rPr>
          <w:rFonts w:ascii="Arial" w:hAnsi="Arial"/>
          <w:color w:val="000000" w:themeColor="text1"/>
          <w:sz w:val="24"/>
        </w:rPr>
        <w:t xml:space="preserve"> través </w:t>
      </w:r>
      <w:r w:rsidRPr="00543EA0">
        <w:rPr>
          <w:rFonts w:ascii="Arial" w:hAnsi="Arial"/>
          <w:color w:val="000000" w:themeColor="text1"/>
          <w:sz w:val="24"/>
        </w:rPr>
        <w:lastRenderedPageBreak/>
        <w:t>de los mecanismos de coparticipación también de los gobiernos provinciales. Es a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través de esas ganancias de productividad experimentadas por productores agrícolas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nacionales, como el gobierno argentino encuentra la forma de financiar la reconstrucción</w:t>
      </w:r>
      <w:r w:rsidR="00BE0D95" w:rsidRPr="00543EA0">
        <w:rPr>
          <w:rFonts w:ascii="Arial" w:hAnsi="Arial"/>
          <w:color w:val="000000" w:themeColor="text1"/>
          <w:sz w:val="24"/>
        </w:rPr>
        <w:t xml:space="preserve"> </w:t>
      </w:r>
      <w:r w:rsidR="001401AD" w:rsidRPr="00543EA0">
        <w:rPr>
          <w:rFonts w:ascii="Arial" w:hAnsi="Arial"/>
          <w:color w:val="000000" w:themeColor="text1"/>
          <w:sz w:val="24"/>
        </w:rPr>
        <w:t>económica</w:t>
      </w:r>
      <w:r w:rsidRPr="00543EA0">
        <w:rPr>
          <w:rFonts w:ascii="Arial" w:hAnsi="Arial"/>
          <w:color w:val="000000" w:themeColor="text1"/>
          <w:sz w:val="24"/>
        </w:rPr>
        <w:t xml:space="preserve"> del país después del colapso del 2001.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Como es obvio inmediatamente emerge la pugna distributiva en torno a dichas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ganancias de productividad, tema que convoca a las empresas transnacionales, a los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productores locales y al sector público. Así, en nuestro ejemplo de la soja, la empresa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Monsanto reclama el aumento de las regalías que se le deben por el uso prolongado de esas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semillas </w:t>
      </w:r>
      <w:r w:rsidR="00EF0351" w:rsidRPr="00543EA0">
        <w:rPr>
          <w:rFonts w:ascii="Arial" w:hAnsi="Arial"/>
          <w:color w:val="000000" w:themeColor="text1"/>
          <w:sz w:val="24"/>
        </w:rPr>
        <w:t>genéticamente modificadas</w:t>
      </w:r>
      <w:r w:rsidRPr="00543EA0">
        <w:rPr>
          <w:rFonts w:ascii="Arial" w:hAnsi="Arial"/>
          <w:color w:val="000000" w:themeColor="text1"/>
          <w:sz w:val="24"/>
        </w:rPr>
        <w:t xml:space="preserve"> que se reproducen en las sucesivas siembras y cosechas y quedan en propiedad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los productores. Estos agricultores a su vez revenden de manera clandestina e ilegal parte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esas semillas a otros productores (procedimiento llamado “bolsa blanca”), los que de esta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manera evaden no solamente el pago de las regalías a Monsanto sino también del impuesto al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="00EF0351" w:rsidRPr="00543EA0">
        <w:rPr>
          <w:rFonts w:ascii="Arial" w:hAnsi="Arial"/>
          <w:color w:val="000000" w:themeColor="text1"/>
          <w:sz w:val="24"/>
        </w:rPr>
        <w:t>valor agregado</w:t>
      </w:r>
      <w:r w:rsidRPr="00543EA0">
        <w:rPr>
          <w:rFonts w:ascii="Arial" w:hAnsi="Arial"/>
          <w:color w:val="000000" w:themeColor="text1"/>
          <w:sz w:val="24"/>
        </w:rPr>
        <w:t xml:space="preserve"> y de</w:t>
      </w:r>
      <w:r w:rsidR="00EF0351" w:rsidRPr="00543EA0">
        <w:rPr>
          <w:rFonts w:ascii="Arial" w:hAnsi="Arial"/>
          <w:color w:val="000000" w:themeColor="text1"/>
          <w:sz w:val="24"/>
        </w:rPr>
        <w:t>l impuesto a las ganancias</w:t>
      </w:r>
      <w:r w:rsidRPr="00543EA0">
        <w:rPr>
          <w:rFonts w:ascii="Arial" w:hAnsi="Arial"/>
          <w:color w:val="000000" w:themeColor="text1"/>
          <w:sz w:val="24"/>
        </w:rPr>
        <w:t>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Más allá de los grandes jugadores mencionados que están dotados con las armas del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poder económico y político, hay otros grupos abrumadoramente mayoritarios que, sea demanera directa o indirecta, quedan involucrados y se ven afectados por las consecuencias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distributivas y ambientales que derivan de estos procesos. Esos grupos carentes de poder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económico (propiedad) o social (educación), sólo pueden refugiarse en el buen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funcionamiento de las instituciones de la democracia, pero para eso necesitan de un poder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organizativo o sindical, que transmita sus inquietudes ciudadanas a los partidos políticos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sobre los que se sustenta el funcionamiento de la democracia representativa.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Entrando en un terreno que no me es propio, y con el sólo objetivo de provocarlos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intelectualmente de una manera constructiva, distinguiré entre dos vertientes ideológicas que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hoy discuten en diferentes foros el tema de la naturaleza de la democracia. Me refiero a las</w:t>
      </w:r>
      <w:r w:rsidR="0039055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vertientes neoliberal y republicana. La vertiente neoliberal de la democracia ha enfatizado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las libertades individuales y las capacidades de emprendimiento de los dotados de poder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económico. Es la forma d</w:t>
      </w:r>
      <w:r w:rsidR="001401AD" w:rsidRPr="00543EA0">
        <w:rPr>
          <w:rFonts w:ascii="Arial" w:hAnsi="Arial"/>
          <w:color w:val="000000" w:themeColor="text1"/>
          <w:sz w:val="24"/>
        </w:rPr>
        <w:t>e democracia más tolerable por</w:t>
      </w:r>
      <w:r w:rsidRPr="00543EA0">
        <w:rPr>
          <w:rFonts w:ascii="Arial" w:hAnsi="Arial"/>
          <w:color w:val="000000" w:themeColor="text1"/>
          <w:sz w:val="24"/>
        </w:rPr>
        <w:t xml:space="preserve"> el extremo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="001401AD" w:rsidRPr="00543EA0">
        <w:rPr>
          <w:rFonts w:ascii="Arial" w:hAnsi="Arial"/>
          <w:color w:val="000000" w:themeColor="text1"/>
          <w:sz w:val="24"/>
        </w:rPr>
        <w:t>libertarismo</w:t>
      </w:r>
      <w:r w:rsidRPr="00543EA0">
        <w:rPr>
          <w:rFonts w:ascii="Arial" w:hAnsi="Arial"/>
          <w:color w:val="000000" w:themeColor="text1"/>
          <w:sz w:val="24"/>
        </w:rPr>
        <w:t>, sobre el que se sustenta la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legitimació</w:t>
      </w:r>
      <w:r w:rsidR="009B2E3C" w:rsidRPr="00543EA0">
        <w:rPr>
          <w:rFonts w:ascii="Arial" w:hAnsi="Arial"/>
          <w:color w:val="000000" w:themeColor="text1"/>
          <w:sz w:val="24"/>
        </w:rPr>
        <w:t>n del neoliberalismo económico c</w:t>
      </w:r>
      <w:r w:rsidRPr="00543EA0">
        <w:rPr>
          <w:rFonts w:ascii="Arial" w:hAnsi="Arial"/>
          <w:color w:val="000000" w:themeColor="text1"/>
          <w:sz w:val="24"/>
        </w:rPr>
        <w:t>ontemporáneo.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lastRenderedPageBreak/>
        <w:t>De otro lado la vertiente republicana ha tendido a recalcar las virtudes ciudadanas de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 educación y el papel indelegable del Estado en la transmisión de una moralidad cívica. En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 primera visión predomina un concepto de libertad que se define de manera individualista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como la propiedad de si mismo y de todos los recursos que posibilitan el ejercicio de aquella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propiedad. En la segunda visión la libertad es una situación que deriva de la pertenencia a un</w:t>
      </w:r>
      <w:r w:rsidR="00EB40D6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orden social anterior a cada individuo. Sus orígenes más remotos e ilustres los encontramos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en la idea del hombre como animal político propuesta por Aristóteles. En este segundo caso la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condición de ciudadano y las virtudes requeridas para serlo en plenitud preponderan sobre la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condición de propietario.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El tema central de la democracia como contrapeso del capitalismo pasa por el estudio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las condiciones que podrían llevar a su fortalecimiento mediante la educación y la</w:t>
      </w:r>
      <w:r w:rsidR="009C116F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moralidad cívica. La educación para hacer a los ciudadanos desfavorecidos más </w:t>
      </w:r>
      <w:r w:rsidR="001401AD" w:rsidRPr="00543EA0">
        <w:rPr>
          <w:rFonts w:ascii="Arial" w:hAnsi="Arial"/>
          <w:color w:val="000000" w:themeColor="text1"/>
          <w:sz w:val="24"/>
        </w:rPr>
        <w:t>consientes</w:t>
      </w:r>
      <w:r w:rsidRPr="00543EA0">
        <w:rPr>
          <w:rFonts w:ascii="Arial" w:hAnsi="Arial"/>
          <w:color w:val="000000" w:themeColor="text1"/>
          <w:sz w:val="24"/>
        </w:rPr>
        <w:t xml:space="preserve"> de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sus derechos, y la moralidad cívica para evitar el desinterés por la política que tanto afectó el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desti</w:t>
      </w:r>
      <w:r w:rsidR="000F4679" w:rsidRPr="00543EA0">
        <w:rPr>
          <w:rFonts w:ascii="Arial" w:hAnsi="Arial"/>
          <w:color w:val="000000" w:themeColor="text1"/>
          <w:sz w:val="24"/>
        </w:rPr>
        <w:t>no reciente de algunas naciones</w:t>
      </w:r>
      <w:r w:rsidRPr="00543EA0">
        <w:rPr>
          <w:rFonts w:ascii="Arial" w:hAnsi="Arial"/>
          <w:color w:val="000000" w:themeColor="text1"/>
          <w:sz w:val="24"/>
        </w:rPr>
        <w:t>. En el ejemplo de Argentina, los ciudadanos más</w:t>
      </w:r>
      <w:r w:rsidR="009C116F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educados y prudentes, pertenecientes a una clase media sin grandes intereses o posesiones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económicas, en ocasiones compartieron la idea equivocada de que la política era una actividad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sucia y poco gratificante, al hacerlo produjero</w:t>
      </w:r>
      <w:r w:rsidR="009C116F" w:rsidRPr="00543EA0">
        <w:rPr>
          <w:rFonts w:ascii="Arial" w:hAnsi="Arial"/>
          <w:color w:val="000000" w:themeColor="text1"/>
          <w:sz w:val="24"/>
        </w:rPr>
        <w:t>n lo que los economistas suelen</w:t>
      </w:r>
      <w:r w:rsidRPr="00543EA0">
        <w:rPr>
          <w:rFonts w:ascii="Arial" w:hAnsi="Arial"/>
          <w:color w:val="000000" w:themeColor="text1"/>
          <w:sz w:val="24"/>
        </w:rPr>
        <w:t xml:space="preserve"> denominar</w:t>
      </w:r>
      <w:r w:rsidR="009C116F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una profecía auto-cumplida. La poderosa y numerosa clase media argentina, cedió el ámbito</w:t>
      </w:r>
      <w:r w:rsidR="009C116F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la arena democrática, a formas extremas de conquista del poder popular, con métodos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Para referirse a esa mezcla de desinterés con parasitismo de quien no participa voluntariamente de las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obligaciones ciudadanas pero quiere cosechar todos sus frutos, algunos autores estadounidenses usan la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expresión </w:t>
      </w:r>
      <w:r w:rsidRPr="00543EA0">
        <w:rPr>
          <w:rFonts w:ascii="Arial" w:hAnsi="Arial"/>
          <w:iCs/>
          <w:color w:val="000000" w:themeColor="text1"/>
          <w:sz w:val="24"/>
        </w:rPr>
        <w:t xml:space="preserve">free rider, </w:t>
      </w:r>
      <w:r w:rsidRPr="00543EA0">
        <w:rPr>
          <w:rFonts w:ascii="Arial" w:hAnsi="Arial"/>
          <w:color w:val="000000" w:themeColor="text1"/>
          <w:sz w:val="24"/>
        </w:rPr>
        <w:t>para la que no habría traducción posible al castellano.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violentistas, populistas, y personalistas, posteriormente contrarrestados con autoritarismos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militares igualmente violentistas cuyos efectos en el caso argentino han sido devastadores. </w:t>
      </w: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0F4679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No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estoy diciendo que la reticencia de las clases medias educadas a participar políticamente haya</w:t>
      </w:r>
      <w:r w:rsidR="000F3AFA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sido la causa de estas convulsiones, pero sospecho que sin duda contribuyó a agravarlas.</w:t>
      </w:r>
    </w:p>
    <w:p w:rsidR="009B2E3C" w:rsidRPr="00543EA0" w:rsidRDefault="009B2E3C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lastRenderedPageBreak/>
        <w:t>El tema de la democracia puede ligarse al tema de la integración regional que es un</w:t>
      </w:r>
      <w:r w:rsidR="009C116F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referente central de la convocatoria a este Congreso</w:t>
      </w:r>
      <w:r w:rsidR="009C116F" w:rsidRPr="00543EA0">
        <w:rPr>
          <w:rFonts w:ascii="Arial" w:hAnsi="Arial"/>
          <w:color w:val="000000" w:themeColor="text1"/>
          <w:sz w:val="24"/>
        </w:rPr>
        <w:t xml:space="preserve">. La tesis que aquí </w:t>
      </w:r>
      <w:r w:rsidR="00501DEE" w:rsidRPr="00543EA0">
        <w:rPr>
          <w:rFonts w:ascii="Arial" w:hAnsi="Arial"/>
          <w:color w:val="000000" w:themeColor="text1"/>
          <w:sz w:val="24"/>
        </w:rPr>
        <w:t>sostendré</w:t>
      </w:r>
      <w:r w:rsidRPr="00543EA0">
        <w:rPr>
          <w:rFonts w:ascii="Arial" w:hAnsi="Arial"/>
          <w:color w:val="000000" w:themeColor="text1"/>
          <w:sz w:val="24"/>
        </w:rPr>
        <w:t xml:space="preserve"> es que la</w:t>
      </w:r>
      <w:r w:rsidR="009C116F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integración regional, concebida en los términos bolivarianos o en los ideales que Sarmiento</w:t>
      </w:r>
      <w:r w:rsidR="009C116F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supo expresar en su obra Argirópolis, puede hoy reafirmarse. Pero esta reafirmación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requeriría establecer un recíproco círculo virtuoso con las instituciones de la democracia. La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integración regional de las sociedades nacionales latinoamericanas, puede consolidar este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régimen político y ayudar, a una escala regional o subregional, a controlar legítimamente los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impactos sociales negativos de la propagación del capitalismo global sin perder los impactos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positivos que derivan de la propagación del progreso técnico y de sus frutos.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Este objetivo exige una convergencia a escala sudamericana o latinoamericana de los</w:t>
      </w:r>
      <w:r w:rsidR="009C116F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movimientos y partido políticos. El camino para lograr esa convergencia pasa a través de la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consolidación de temas e intereses que nos sean comunes y que podríamos, como ciudadanos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latinoamericanos defender de manera coordinada y legítima a través de los partidos y de otros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movimientos sociales. El caso de la soja que se esbozó más arriba es un ejemplo de un tema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que interesa a muchas naciones del Cono Sur, </w:t>
      </w:r>
      <w:r w:rsidR="001401AD" w:rsidRPr="00543EA0">
        <w:rPr>
          <w:rFonts w:ascii="Arial" w:hAnsi="Arial"/>
          <w:color w:val="000000" w:themeColor="text1"/>
          <w:sz w:val="24"/>
        </w:rPr>
        <w:t xml:space="preserve">y, ciertamente, a los miembros </w:t>
      </w:r>
      <w:r w:rsidRPr="00543EA0">
        <w:rPr>
          <w:rFonts w:ascii="Arial" w:hAnsi="Arial"/>
          <w:color w:val="000000" w:themeColor="text1"/>
          <w:sz w:val="24"/>
        </w:rPr>
        <w:t>el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</w:t>
      </w:r>
      <w:r w:rsidR="001401AD" w:rsidRPr="00543EA0">
        <w:rPr>
          <w:rFonts w:ascii="Arial" w:hAnsi="Arial"/>
          <w:color w:val="000000" w:themeColor="text1"/>
          <w:sz w:val="24"/>
        </w:rPr>
        <w:t>ercado Común del Sur</w:t>
      </w:r>
      <w:r w:rsidRPr="00543EA0">
        <w:rPr>
          <w:rFonts w:ascii="Arial" w:hAnsi="Arial"/>
          <w:color w:val="000000" w:themeColor="text1"/>
          <w:sz w:val="24"/>
        </w:rPr>
        <w:t xml:space="preserve"> con la excepción de Venezuela, recientemente incorporada al bloque.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Es hoy ineludible reconocer las dificultades y turbulencias que se observan en los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bloques subregionales, especialmente en la esfera comercial, incluyendo una cierta tendencia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los países latinoamericanos a conceder mayores preferencias y a asumir compromisos más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profundos en sus T</w:t>
      </w:r>
      <w:r w:rsidR="001401AD" w:rsidRPr="00543EA0">
        <w:rPr>
          <w:rFonts w:ascii="Arial" w:hAnsi="Arial"/>
          <w:color w:val="000000" w:themeColor="text1"/>
          <w:sz w:val="24"/>
        </w:rPr>
        <w:t>ratados de Libre Comercio</w:t>
      </w:r>
      <w:r w:rsidRPr="00543EA0">
        <w:rPr>
          <w:rFonts w:ascii="Arial" w:hAnsi="Arial"/>
          <w:color w:val="000000" w:themeColor="text1"/>
          <w:sz w:val="24"/>
        </w:rPr>
        <w:t xml:space="preserve"> con los países desarrollados que los que estarían dispuestos a asumir en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sus relaciones recíprocas. Esta tendencia genera un gran impacto institucional en las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regulaciones internas de lo</w:t>
      </w:r>
      <w:r w:rsidR="000F4679" w:rsidRPr="00543EA0">
        <w:rPr>
          <w:rFonts w:ascii="Arial" w:hAnsi="Arial"/>
          <w:color w:val="000000" w:themeColor="text1"/>
          <w:sz w:val="24"/>
        </w:rPr>
        <w:t xml:space="preserve">s países latinoamericanos. Esas </w:t>
      </w:r>
      <w:r w:rsidRPr="00543EA0">
        <w:rPr>
          <w:rFonts w:ascii="Arial" w:hAnsi="Arial"/>
          <w:color w:val="000000" w:themeColor="text1"/>
          <w:sz w:val="24"/>
        </w:rPr>
        <w:t>reformas regulatorias que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favorecen la dinámica de la transnacionalización, obedecen a los compromisos contraídos por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países latinoamericanos a través de la suscripción de algunos T</w:t>
      </w:r>
      <w:r w:rsidR="001401AD" w:rsidRPr="00543EA0">
        <w:rPr>
          <w:rFonts w:ascii="Arial" w:hAnsi="Arial"/>
          <w:color w:val="000000" w:themeColor="text1"/>
          <w:sz w:val="24"/>
        </w:rPr>
        <w:t>ratados de Libre Comercio</w:t>
      </w:r>
      <w:r w:rsidRPr="00543EA0">
        <w:rPr>
          <w:rFonts w:ascii="Arial" w:hAnsi="Arial"/>
          <w:color w:val="000000" w:themeColor="text1"/>
          <w:sz w:val="24"/>
        </w:rPr>
        <w:t xml:space="preserve"> con naciones desarrolladas.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Los impactos más importantes sobre los sistemas de regulación interna tienen lugar en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campos tales como las políticas de competencia, las inversiones ligadas al comercio y a los</w:t>
      </w:r>
      <w:r w:rsidR="00F33C6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servicios, la propiedad intelectual, las compras de gobierno, la legislación medio ambiental,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etc. En vista de que las normas incluidas en los T</w:t>
      </w:r>
      <w:r w:rsidR="001401AD" w:rsidRPr="00543EA0">
        <w:rPr>
          <w:rFonts w:ascii="Arial" w:hAnsi="Arial"/>
          <w:color w:val="000000" w:themeColor="text1"/>
          <w:sz w:val="24"/>
        </w:rPr>
        <w:t>ratados de Libre Comercio</w:t>
      </w:r>
      <w:r w:rsidRPr="00543EA0">
        <w:rPr>
          <w:rFonts w:ascii="Arial" w:hAnsi="Arial"/>
          <w:color w:val="000000" w:themeColor="text1"/>
          <w:sz w:val="24"/>
        </w:rPr>
        <w:t xml:space="preserve"> con naciones </w:t>
      </w:r>
      <w:r w:rsidRPr="00543EA0">
        <w:rPr>
          <w:rFonts w:ascii="Arial" w:hAnsi="Arial"/>
          <w:color w:val="000000" w:themeColor="text1"/>
          <w:sz w:val="24"/>
        </w:rPr>
        <w:lastRenderedPageBreak/>
        <w:t>desarrolladas son mucho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más precisas y específicas, la ratificación parlamentaria de estos acuerdos supone</w:t>
      </w:r>
      <w:r w:rsidR="00F33C6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compromisos vinculantes que marginan o dejan obsoletas otras normas preexistentes en el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interior de los bloques subregionales de integración.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44400C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La impresión inmediata o superficial respecto de los bloques subregionales</w:t>
      </w:r>
      <w:r w:rsidR="00F33C6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latinoamericanos es que sus compromisos multidimensionales recíprocos (políticos, sociales y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culturales), asumen un carácter más retórico o declarativo y luego no se traducen en las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medidas institucionales y presupuestarias requeridas para viabilizarlos. Como los vínculos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comerciales recíprocos entre los países latinoamericanos son relativamente reducidos (no más</w:t>
      </w:r>
      <w:r w:rsidR="0044400C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un 20% del comercio total) queda claro que no es el comercio reciproco ni el único ni el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principal estímulo de las posiciones estratégicas que asumen los gobiernos. </w:t>
      </w:r>
    </w:p>
    <w:p w:rsidR="0044400C" w:rsidRPr="00543EA0" w:rsidRDefault="0044400C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9F7FD0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Compárese ese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bajo porcentaje de comercio recíproco con el mucho más alto que vincula a los países de la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="001401AD" w:rsidRPr="00543EA0">
        <w:rPr>
          <w:rFonts w:ascii="Arial" w:hAnsi="Arial"/>
          <w:color w:val="000000" w:themeColor="text1"/>
          <w:sz w:val="24"/>
        </w:rPr>
        <w:t xml:space="preserve">Unión </w:t>
      </w:r>
      <w:r w:rsidRPr="00543EA0">
        <w:rPr>
          <w:rFonts w:ascii="Arial" w:hAnsi="Arial"/>
          <w:color w:val="000000" w:themeColor="text1"/>
          <w:sz w:val="24"/>
        </w:rPr>
        <w:t>E</w:t>
      </w:r>
      <w:r w:rsidR="001401AD" w:rsidRPr="00543EA0">
        <w:rPr>
          <w:rFonts w:ascii="Arial" w:hAnsi="Arial"/>
          <w:color w:val="000000" w:themeColor="text1"/>
          <w:sz w:val="24"/>
        </w:rPr>
        <w:t>uropea, o a los miembros de la Asociación de Naciones del Sudeste Asiático</w:t>
      </w:r>
      <w:r w:rsidRPr="00543EA0">
        <w:rPr>
          <w:rFonts w:ascii="Arial" w:hAnsi="Arial"/>
          <w:color w:val="000000" w:themeColor="text1"/>
          <w:sz w:val="24"/>
        </w:rPr>
        <w:t xml:space="preserve"> en el Asia. </w:t>
      </w:r>
    </w:p>
    <w:p w:rsidR="009F7FD0" w:rsidRPr="00543EA0" w:rsidRDefault="009F7FD0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En otras palabras el juego de la integración</w:t>
      </w:r>
      <w:r w:rsidR="0044400C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latinoamericana no se dirime en el campo comercial sino que la integración comercial será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una consecuencia de avances estructurales profundas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en otras dimensiones sociales</w:t>
      </w:r>
      <w:r w:rsidRPr="00543EA0">
        <w:rPr>
          <w:rFonts w:ascii="Arial" w:hAnsi="Arial"/>
          <w:color w:val="000000" w:themeColor="text1"/>
          <w:sz w:val="24"/>
        </w:rPr>
        <w:t>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Las convergencias, negociadas en los planos políticamente sensibles de los bloques</w:t>
      </w:r>
      <w:r w:rsidR="00F33C6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subregionales, que serían necesarias para lograr un círculo virtuoso entre la consolidación de</w:t>
      </w:r>
      <w:r w:rsidR="00F33C6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 democracia y la integración de las sociedades nacionales, exceden el campo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específicamente económico e incluyen normas institucionales igualmente profundas en los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campos político, social y cultural. Entre éstas se cuentan las así llamadas cláusulas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democráticas y de seguridad regional, las regulaciones requeridas para la convergencia de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sistemas laborales o previsionales, de sistemas educacionales, de sistemas migratorios, etc.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Estos compromisos no son de fácil ratificación parlamentaria y suelen quedar postergados</w:t>
      </w:r>
      <w:r w:rsidR="00F33C68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porque terminan predominando i</w:t>
      </w:r>
      <w:r w:rsidR="009F7FD0" w:rsidRPr="00543EA0">
        <w:rPr>
          <w:rFonts w:ascii="Arial" w:hAnsi="Arial"/>
          <w:color w:val="000000" w:themeColor="text1"/>
          <w:sz w:val="24"/>
        </w:rPr>
        <w:t xml:space="preserve">ntereses locales, personalismos, </w:t>
      </w:r>
      <w:r w:rsidRPr="00543EA0">
        <w:rPr>
          <w:rFonts w:ascii="Arial" w:hAnsi="Arial"/>
          <w:color w:val="000000" w:themeColor="text1"/>
          <w:sz w:val="24"/>
        </w:rPr>
        <w:t>presidenciales, o cuestiones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corto plazo que impiden la consolidación gradual del tejido institucional de la integración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nuestras sociedades latinoamericanas.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9F7FD0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lastRenderedPageBreak/>
        <w:t>Por oposición, en el corto plazo los T</w:t>
      </w:r>
      <w:r w:rsidR="00EF0351" w:rsidRPr="00543EA0">
        <w:rPr>
          <w:rFonts w:ascii="Arial" w:hAnsi="Arial"/>
          <w:color w:val="000000" w:themeColor="text1"/>
          <w:sz w:val="24"/>
        </w:rPr>
        <w:t>ratados de Libre Comercio</w:t>
      </w:r>
      <w:r w:rsidRPr="00543EA0">
        <w:rPr>
          <w:rFonts w:ascii="Arial" w:hAnsi="Arial"/>
          <w:color w:val="000000" w:themeColor="text1"/>
          <w:sz w:val="24"/>
        </w:rPr>
        <w:t xml:space="preserve"> hemisféricos y extra hemisféricos tienen un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impacto mucho más masivo en las perspectivas comerciales de los países de la región. </w:t>
      </w:r>
    </w:p>
    <w:p w:rsidR="009F7FD0" w:rsidRPr="00543EA0" w:rsidRDefault="009F7FD0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En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efecto, los T</w:t>
      </w:r>
      <w:r w:rsidR="00EF0351" w:rsidRPr="00543EA0">
        <w:rPr>
          <w:rFonts w:ascii="Arial" w:hAnsi="Arial"/>
          <w:color w:val="000000" w:themeColor="text1"/>
          <w:sz w:val="24"/>
        </w:rPr>
        <w:t>ratados de Libre Comercio</w:t>
      </w:r>
      <w:r w:rsidRPr="00543EA0">
        <w:rPr>
          <w:rFonts w:ascii="Arial" w:hAnsi="Arial"/>
          <w:color w:val="000000" w:themeColor="text1"/>
          <w:sz w:val="24"/>
        </w:rPr>
        <w:t xml:space="preserve"> (especialmente los suscritos con </w:t>
      </w:r>
      <w:r w:rsidR="00EF0351" w:rsidRPr="00543EA0">
        <w:rPr>
          <w:rFonts w:ascii="Arial" w:hAnsi="Arial"/>
          <w:color w:val="000000" w:themeColor="text1"/>
          <w:sz w:val="24"/>
        </w:rPr>
        <w:t xml:space="preserve">los </w:t>
      </w:r>
      <w:r w:rsidRPr="00543EA0">
        <w:rPr>
          <w:rFonts w:ascii="Arial" w:hAnsi="Arial"/>
          <w:color w:val="000000" w:themeColor="text1"/>
          <w:sz w:val="24"/>
        </w:rPr>
        <w:t>E</w:t>
      </w:r>
      <w:r w:rsidR="00EF0351" w:rsidRPr="00543EA0">
        <w:rPr>
          <w:rFonts w:ascii="Arial" w:hAnsi="Arial"/>
          <w:color w:val="000000" w:themeColor="text1"/>
          <w:sz w:val="24"/>
        </w:rPr>
        <w:t xml:space="preserve">stados Unidos de </w:t>
      </w:r>
      <w:r w:rsidR="001401AD" w:rsidRPr="00543EA0">
        <w:rPr>
          <w:rFonts w:ascii="Arial" w:hAnsi="Arial"/>
          <w:color w:val="000000" w:themeColor="text1"/>
          <w:sz w:val="24"/>
        </w:rPr>
        <w:t>Norteamérica</w:t>
      </w:r>
      <w:r w:rsidRPr="00543EA0">
        <w:rPr>
          <w:rFonts w:ascii="Arial" w:hAnsi="Arial"/>
          <w:color w:val="000000" w:themeColor="text1"/>
          <w:sz w:val="24"/>
        </w:rPr>
        <w:t xml:space="preserve"> y la </w:t>
      </w:r>
      <w:r w:rsidR="001401AD" w:rsidRPr="00543EA0">
        <w:rPr>
          <w:rFonts w:ascii="Arial" w:hAnsi="Arial"/>
          <w:color w:val="000000" w:themeColor="text1"/>
          <w:sz w:val="24"/>
        </w:rPr>
        <w:t>Unión</w:t>
      </w:r>
      <w:r w:rsidR="00196A93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</w:t>
      </w:r>
      <w:r w:rsidR="00EF0351" w:rsidRPr="00543EA0">
        <w:rPr>
          <w:rFonts w:ascii="Arial" w:hAnsi="Arial"/>
          <w:color w:val="000000" w:themeColor="text1"/>
          <w:sz w:val="24"/>
        </w:rPr>
        <w:t>uropea</w:t>
      </w:r>
      <w:r w:rsidRPr="00543EA0">
        <w:rPr>
          <w:rFonts w:ascii="Arial" w:hAnsi="Arial"/>
          <w:color w:val="000000" w:themeColor="text1"/>
          <w:sz w:val="24"/>
        </w:rPr>
        <w:t>) en vista de su carácter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unidimensional enfocado a las transacciones de mercado en campos muy similares a los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discutidos en el ámbito global de la </w:t>
      </w:r>
      <w:r w:rsidR="001401AD" w:rsidRPr="00543EA0">
        <w:rPr>
          <w:rFonts w:ascii="Arial" w:hAnsi="Arial"/>
          <w:color w:val="000000" w:themeColor="text1"/>
          <w:sz w:val="24"/>
        </w:rPr>
        <w:t xml:space="preserve">Organización </w:t>
      </w:r>
      <w:r w:rsidRPr="00543EA0">
        <w:rPr>
          <w:rFonts w:ascii="Arial" w:hAnsi="Arial"/>
          <w:color w:val="000000" w:themeColor="text1"/>
          <w:sz w:val="24"/>
        </w:rPr>
        <w:t>M</w:t>
      </w:r>
      <w:r w:rsidR="001401AD" w:rsidRPr="00543EA0">
        <w:rPr>
          <w:rFonts w:ascii="Arial" w:hAnsi="Arial"/>
          <w:color w:val="000000" w:themeColor="text1"/>
          <w:sz w:val="24"/>
        </w:rPr>
        <w:t xml:space="preserve">undial de </w:t>
      </w:r>
      <w:r w:rsidRPr="00543EA0">
        <w:rPr>
          <w:rFonts w:ascii="Arial" w:hAnsi="Arial"/>
          <w:color w:val="000000" w:themeColor="text1"/>
          <w:sz w:val="24"/>
        </w:rPr>
        <w:t>C</w:t>
      </w:r>
      <w:r w:rsidR="001401AD" w:rsidRPr="00543EA0">
        <w:rPr>
          <w:rFonts w:ascii="Arial" w:hAnsi="Arial"/>
          <w:color w:val="000000" w:themeColor="text1"/>
          <w:sz w:val="24"/>
        </w:rPr>
        <w:t>omercio</w:t>
      </w:r>
      <w:r w:rsidRPr="00543EA0">
        <w:rPr>
          <w:rFonts w:ascii="Arial" w:hAnsi="Arial"/>
          <w:color w:val="000000" w:themeColor="text1"/>
          <w:sz w:val="24"/>
        </w:rPr>
        <w:t xml:space="preserve"> terminan afectando de manera mucho más precisa y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permanente la estructura institucional interna de las naciones que los suscriben. Esto es así por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 importancia decisiva para el comercio latinoamericano (especialmente en los países</w:t>
      </w:r>
      <w:r w:rsidR="00196A93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andinos, centroamericanos y caribeños) de las transacciones con esos grandes centros,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medidas, por ejemplo, como porcentaje del comercio total de nuestros países. Por lo tanto si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asumimos la óptica reductivamente comercialista de la integración no hay duda que las reglas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 juego de la globalización capitalista preponderarán sobre las reglas de juego de la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democracia planteada a escala regional.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Hay aquí un tema político de enorme trascendencia para el futuro de la integración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latinoamericana. Los acuerdos multidimensionales de integración, en el caso de América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Latina, tienen un carácter intergubernamental. Esta modalidad contrasta fuertemente con lo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que acontece, por ejemplo, con el “modelo” europeo fundado en la existencia de una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estructura institucional de carácter supranacional con organismos (tales como la Comisión, el</w:t>
      </w:r>
      <w:r w:rsidR="00196A93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Parlamento, el Tribunal de Justicia, el Banco Central, la moneda única, etc.) que defienden los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intereses comunitarios como un todo por encima de los intereses de los países miembros.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Nótese además que el carácter parlamentario de los sistemas políticos europeos otorga el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poder a las instituciones y al estado de derecho por encima del voluntarismo político que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eventualmente quisiera ser desplegado por los poderes ejecutivos o por las personas que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detentan esos cargos.</w:t>
      </w:r>
    </w:p>
    <w:p w:rsidR="000F4679" w:rsidRPr="00543EA0" w:rsidRDefault="000F4679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La carencia de la voluntad política en América Latina para generar este tipo de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="001401AD" w:rsidRPr="00543EA0">
        <w:rPr>
          <w:rFonts w:ascii="Arial" w:hAnsi="Arial"/>
          <w:color w:val="000000" w:themeColor="text1"/>
          <w:sz w:val="24"/>
        </w:rPr>
        <w:t>instituciones</w:t>
      </w:r>
      <w:r w:rsidRPr="00543EA0">
        <w:rPr>
          <w:rFonts w:ascii="Arial" w:hAnsi="Arial"/>
          <w:color w:val="000000" w:themeColor="text1"/>
          <w:sz w:val="24"/>
        </w:rPr>
        <w:t xml:space="preserve"> supranacionales, produce la triste paradoja de que los T</w:t>
      </w:r>
      <w:r w:rsidR="00EF0351" w:rsidRPr="00543EA0">
        <w:rPr>
          <w:rFonts w:ascii="Arial" w:hAnsi="Arial"/>
          <w:color w:val="000000" w:themeColor="text1"/>
          <w:sz w:val="24"/>
        </w:rPr>
        <w:t xml:space="preserve">ratados de </w:t>
      </w:r>
      <w:r w:rsidR="001401AD" w:rsidRPr="00543EA0">
        <w:rPr>
          <w:rFonts w:ascii="Arial" w:hAnsi="Arial"/>
          <w:color w:val="000000" w:themeColor="text1"/>
          <w:sz w:val="24"/>
        </w:rPr>
        <w:t>Libre C</w:t>
      </w:r>
      <w:r w:rsidR="00EF0351" w:rsidRPr="00543EA0">
        <w:rPr>
          <w:rFonts w:ascii="Arial" w:hAnsi="Arial"/>
          <w:color w:val="000000" w:themeColor="text1"/>
          <w:sz w:val="24"/>
        </w:rPr>
        <w:t xml:space="preserve">omercio </w:t>
      </w:r>
      <w:r w:rsidRPr="00543EA0">
        <w:rPr>
          <w:rFonts w:ascii="Arial" w:hAnsi="Arial"/>
          <w:color w:val="000000" w:themeColor="text1"/>
          <w:sz w:val="24"/>
        </w:rPr>
        <w:t>unidimensionales o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“mercadistas”, partiendo de un campo más acotado como es el de las transacciones de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 xml:space="preserve">mercado, terminan incidiendo de manera más profunda en las instituciones </w:t>
      </w:r>
      <w:r w:rsidRPr="00543EA0">
        <w:rPr>
          <w:rFonts w:ascii="Arial" w:hAnsi="Arial"/>
          <w:color w:val="000000" w:themeColor="text1"/>
          <w:sz w:val="24"/>
        </w:rPr>
        <w:lastRenderedPageBreak/>
        <w:t>de los países</w:t>
      </w:r>
      <w:r w:rsidR="009F7FD0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latinoamericanos firmantes. En tanto que las iniciativas más audaces y multidimensionales de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los bloques subregionales latinoamericanos no encuentran ratificación parlamentaria oportuna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y pierden credibilidad y eficacia, entre otras razones por la carencia de instancias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supranacionales que aseguren su carácter vinculante.</w:t>
      </w:r>
    </w:p>
    <w:p w:rsidR="00870F9E" w:rsidRDefault="00870F9E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1A0C5F" w:rsidRPr="00870F9E" w:rsidRDefault="001A0C5F" w:rsidP="00543EA0">
      <w:pPr>
        <w:spacing w:after="0" w:line="360" w:lineRule="auto"/>
        <w:jc w:val="both"/>
        <w:rPr>
          <w:rFonts w:ascii="Arial" w:hAnsi="Arial"/>
          <w:b/>
          <w:caps/>
          <w:color w:val="000000" w:themeColor="text1"/>
          <w:sz w:val="24"/>
        </w:rPr>
      </w:pPr>
      <w:r w:rsidRPr="00870F9E">
        <w:rPr>
          <w:rFonts w:ascii="Arial" w:hAnsi="Arial"/>
          <w:b/>
          <w:caps/>
          <w:color w:val="000000" w:themeColor="text1"/>
          <w:sz w:val="24"/>
        </w:rPr>
        <w:t>Conclusiones</w:t>
      </w:r>
    </w:p>
    <w:p w:rsidR="00BE0D95" w:rsidRPr="00543EA0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  <w:r w:rsidRPr="00543EA0">
        <w:rPr>
          <w:rFonts w:ascii="Arial" w:hAnsi="Arial"/>
          <w:color w:val="000000" w:themeColor="text1"/>
          <w:sz w:val="24"/>
        </w:rPr>
        <w:t>La integración regional de las sociedades nacionales latinoamericanas necesita de una</w:t>
      </w:r>
      <w:r w:rsidR="002404AC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convergencia de los sistemas democráticos de los países miembros. Esto pasa por la</w:t>
      </w:r>
      <w:r w:rsidR="002404AC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determinación de problemas e intereses comunes, por una incorporación de esos problemas 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intereses a las plataformas y las preocupaciones de los partidos políticos que coordinadamente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los representen en cada sociedad nacional, por un fortalecimiento de fuerzas parlamentarias</w:t>
      </w:r>
      <w:r w:rsidR="002404AC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que posibiliten un acercamiento institucional gradual de los sistemas políticos, sociales, y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culturales de países que tienen un origen y un destino com</w:t>
      </w:r>
      <w:r w:rsidR="001A0C5F" w:rsidRPr="00543EA0">
        <w:rPr>
          <w:rFonts w:ascii="Arial" w:hAnsi="Arial"/>
          <w:color w:val="000000" w:themeColor="text1"/>
          <w:sz w:val="24"/>
        </w:rPr>
        <w:t>ún. El caso de la soja que he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esbozado es un ejemplo concreto de un tema problemático que convoca y hermana a los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ciudadanos de buena parte del Cono Sur. Afecta directa o indirectamente la vida cotidiana y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los intereses de buena parte de las sociedades de esos países, y por lo tanto legitima las</w:t>
      </w:r>
      <w:r w:rsidR="00BE0D95" w:rsidRPr="00543EA0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demandas en pro de instituciones supranacionales, que en el espíritu y el ejemplo de la Unión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543EA0">
        <w:rPr>
          <w:rFonts w:ascii="Arial" w:hAnsi="Arial"/>
          <w:color w:val="000000" w:themeColor="text1"/>
          <w:sz w:val="24"/>
        </w:rPr>
        <w:t>Europea contribuyan a la consolidación de una democracia planteada a escala latinoamericana</w:t>
      </w:r>
    </w:p>
    <w:p w:rsidR="006130BB" w:rsidRDefault="006130BB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D70723" w:rsidRPr="00543EA0" w:rsidRDefault="00D70723" w:rsidP="00543EA0">
      <w:pPr>
        <w:spacing w:after="0" w:line="360" w:lineRule="auto"/>
        <w:jc w:val="both"/>
        <w:rPr>
          <w:rFonts w:ascii="Arial" w:hAnsi="Arial"/>
          <w:color w:val="000000" w:themeColor="text1"/>
          <w:sz w:val="24"/>
        </w:rPr>
      </w:pPr>
    </w:p>
    <w:p w:rsidR="006130BB" w:rsidRPr="00870F9E" w:rsidRDefault="006130BB" w:rsidP="00543EA0">
      <w:pPr>
        <w:spacing w:after="0" w:line="360" w:lineRule="auto"/>
        <w:jc w:val="both"/>
        <w:rPr>
          <w:rFonts w:ascii="Arial" w:hAnsi="Arial"/>
          <w:b/>
          <w:color w:val="000000" w:themeColor="text1"/>
          <w:sz w:val="24"/>
          <w:lang w:val="en-US"/>
        </w:rPr>
      </w:pPr>
      <w:r w:rsidRPr="00870F9E">
        <w:rPr>
          <w:rFonts w:ascii="Arial" w:hAnsi="Arial"/>
          <w:b/>
          <w:color w:val="000000" w:themeColor="text1"/>
          <w:sz w:val="24"/>
          <w:lang w:val="en-US"/>
        </w:rPr>
        <w:t>BIBLIOGRAFÍA:</w:t>
      </w:r>
    </w:p>
    <w:p w:rsidR="00870F9E" w:rsidRDefault="006130BB" w:rsidP="00870F9E">
      <w:pPr>
        <w:pStyle w:val="Prrafode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  <w:color w:val="000000" w:themeColor="text1"/>
          <w:sz w:val="24"/>
          <w:lang w:val="en-US"/>
        </w:rPr>
      </w:pPr>
      <w:r w:rsidRPr="00543EA0">
        <w:rPr>
          <w:rFonts w:ascii="Arial" w:hAnsi="Arial"/>
          <w:color w:val="000000" w:themeColor="text1"/>
          <w:sz w:val="24"/>
          <w:lang w:val="en-US"/>
        </w:rPr>
        <w:t xml:space="preserve">ARISTOTELES, </w:t>
      </w:r>
      <w:r w:rsidRPr="00543EA0">
        <w:rPr>
          <w:rFonts w:ascii="Arial" w:hAnsi="Arial"/>
          <w:iCs/>
          <w:color w:val="000000" w:themeColor="text1"/>
          <w:sz w:val="24"/>
          <w:lang w:val="en-US"/>
        </w:rPr>
        <w:t>Politics and Nicomachean Ethics</w:t>
      </w:r>
      <w:r w:rsidRPr="00543EA0">
        <w:rPr>
          <w:rFonts w:ascii="Arial" w:hAnsi="Arial"/>
          <w:color w:val="000000" w:themeColor="text1"/>
          <w:sz w:val="24"/>
          <w:lang w:val="en-US"/>
        </w:rPr>
        <w:t>, Edited by Richard McKeon, New York,</w:t>
      </w:r>
      <w:r w:rsidR="00870F9E">
        <w:rPr>
          <w:rFonts w:ascii="Arial" w:hAnsi="Arial"/>
          <w:color w:val="000000" w:themeColor="text1"/>
          <w:sz w:val="24"/>
          <w:lang w:val="en-US"/>
        </w:rPr>
        <w:t xml:space="preserve"> </w:t>
      </w:r>
      <w:r w:rsidRPr="00543EA0">
        <w:rPr>
          <w:rFonts w:ascii="Arial" w:hAnsi="Arial"/>
          <w:color w:val="000000" w:themeColor="text1"/>
          <w:sz w:val="24"/>
          <w:lang w:val="en-US"/>
        </w:rPr>
        <w:t>The Modern Library, 1992.</w:t>
      </w:r>
    </w:p>
    <w:p w:rsidR="00870F9E" w:rsidRDefault="006130BB" w:rsidP="00870F9E">
      <w:pPr>
        <w:pStyle w:val="Prrafode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  <w:color w:val="000000" w:themeColor="text1"/>
          <w:sz w:val="24"/>
        </w:rPr>
      </w:pPr>
      <w:r w:rsidRPr="00870F9E">
        <w:rPr>
          <w:rFonts w:ascii="Arial" w:hAnsi="Arial"/>
          <w:color w:val="000000" w:themeColor="text1"/>
          <w:sz w:val="24"/>
        </w:rPr>
        <w:t xml:space="preserve">DI FILIPPO, </w:t>
      </w:r>
      <w:r w:rsidRPr="00870F9E">
        <w:rPr>
          <w:rFonts w:ascii="Arial" w:hAnsi="Arial"/>
          <w:iCs/>
          <w:color w:val="000000" w:themeColor="text1"/>
          <w:sz w:val="24"/>
        </w:rPr>
        <w:t>Desarrollo y Desigualdad Social en América Latina</w:t>
      </w:r>
      <w:r w:rsidRPr="00870F9E">
        <w:rPr>
          <w:rFonts w:ascii="Arial" w:hAnsi="Arial"/>
          <w:color w:val="000000" w:themeColor="text1"/>
          <w:sz w:val="24"/>
        </w:rPr>
        <w:t xml:space="preserve">, </w:t>
      </w:r>
      <w:r w:rsidR="001401AD" w:rsidRPr="00870F9E">
        <w:rPr>
          <w:rFonts w:ascii="Arial" w:hAnsi="Arial"/>
          <w:color w:val="000000" w:themeColor="text1"/>
          <w:sz w:val="24"/>
        </w:rPr>
        <w:t>México</w:t>
      </w:r>
      <w:r w:rsidRPr="00870F9E">
        <w:rPr>
          <w:rFonts w:ascii="Arial" w:hAnsi="Arial"/>
          <w:color w:val="000000" w:themeColor="text1"/>
          <w:sz w:val="24"/>
        </w:rPr>
        <w:t>, Fondo de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870F9E">
        <w:rPr>
          <w:rFonts w:ascii="Arial" w:hAnsi="Arial"/>
          <w:color w:val="000000" w:themeColor="text1"/>
          <w:sz w:val="24"/>
        </w:rPr>
        <w:t>Cultura Económica, 1981.</w:t>
      </w:r>
    </w:p>
    <w:p w:rsidR="00870F9E" w:rsidRDefault="006130BB" w:rsidP="00870F9E">
      <w:pPr>
        <w:pStyle w:val="Prrafode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  <w:color w:val="000000" w:themeColor="text1"/>
          <w:sz w:val="24"/>
        </w:rPr>
      </w:pPr>
      <w:r w:rsidRPr="00870F9E">
        <w:rPr>
          <w:rFonts w:ascii="Arial" w:hAnsi="Arial"/>
          <w:color w:val="000000" w:themeColor="text1"/>
          <w:sz w:val="24"/>
        </w:rPr>
        <w:t xml:space="preserve">DI FILIPPO y R. FRANCO, </w:t>
      </w:r>
      <w:r w:rsidRPr="00870F9E">
        <w:rPr>
          <w:rFonts w:ascii="Arial" w:hAnsi="Arial"/>
          <w:iCs/>
          <w:color w:val="000000" w:themeColor="text1"/>
          <w:sz w:val="24"/>
        </w:rPr>
        <w:t>Integración Regional, Desarrollo y Equidad</w:t>
      </w:r>
      <w:r w:rsidRPr="00870F9E">
        <w:rPr>
          <w:rFonts w:ascii="Arial" w:hAnsi="Arial"/>
          <w:color w:val="000000" w:themeColor="text1"/>
          <w:sz w:val="24"/>
        </w:rPr>
        <w:t xml:space="preserve">, </w:t>
      </w:r>
      <w:r w:rsidR="001401AD" w:rsidRPr="00870F9E">
        <w:rPr>
          <w:rFonts w:ascii="Arial" w:hAnsi="Arial"/>
          <w:color w:val="000000" w:themeColor="text1"/>
          <w:sz w:val="24"/>
        </w:rPr>
        <w:t>México</w:t>
      </w:r>
      <w:r w:rsidRPr="00870F9E">
        <w:rPr>
          <w:rFonts w:ascii="Arial" w:hAnsi="Arial"/>
          <w:color w:val="000000" w:themeColor="text1"/>
          <w:sz w:val="24"/>
        </w:rPr>
        <w:t>, Siglo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870F9E">
        <w:rPr>
          <w:rFonts w:ascii="Arial" w:hAnsi="Arial"/>
          <w:color w:val="000000" w:themeColor="text1"/>
          <w:sz w:val="24"/>
        </w:rPr>
        <w:t>XXI Editores/CEPAL, 2000.</w:t>
      </w:r>
    </w:p>
    <w:p w:rsidR="00870F9E" w:rsidRDefault="006130BB" w:rsidP="00870F9E">
      <w:pPr>
        <w:pStyle w:val="Prrafode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  <w:color w:val="000000" w:themeColor="text1"/>
          <w:sz w:val="24"/>
        </w:rPr>
      </w:pPr>
      <w:r w:rsidRPr="00870F9E">
        <w:rPr>
          <w:rFonts w:ascii="Arial" w:hAnsi="Arial"/>
          <w:color w:val="000000" w:themeColor="text1"/>
          <w:sz w:val="24"/>
        </w:rPr>
        <w:t xml:space="preserve">FURTADO, </w:t>
      </w:r>
      <w:r w:rsidRPr="00870F9E">
        <w:rPr>
          <w:rFonts w:ascii="Arial" w:hAnsi="Arial"/>
          <w:iCs/>
          <w:color w:val="000000" w:themeColor="text1"/>
          <w:sz w:val="24"/>
        </w:rPr>
        <w:t>Dialéctica del Desarrollo</w:t>
      </w:r>
      <w:r w:rsidRPr="00870F9E">
        <w:rPr>
          <w:rFonts w:ascii="Arial" w:hAnsi="Arial"/>
          <w:color w:val="000000" w:themeColor="text1"/>
          <w:sz w:val="24"/>
        </w:rPr>
        <w:t xml:space="preserve">, </w:t>
      </w:r>
      <w:r w:rsidR="001401AD" w:rsidRPr="00870F9E">
        <w:rPr>
          <w:rFonts w:ascii="Arial" w:hAnsi="Arial"/>
          <w:color w:val="000000" w:themeColor="text1"/>
          <w:sz w:val="24"/>
        </w:rPr>
        <w:t>México</w:t>
      </w:r>
      <w:r w:rsidRPr="00870F9E">
        <w:rPr>
          <w:rFonts w:ascii="Arial" w:hAnsi="Arial"/>
          <w:color w:val="000000" w:themeColor="text1"/>
          <w:sz w:val="24"/>
        </w:rPr>
        <w:t>, Fondo de Cultura Económica, 1965,Capítulos V y VI.</w:t>
      </w:r>
    </w:p>
    <w:p w:rsidR="00870F9E" w:rsidRDefault="006130BB" w:rsidP="00870F9E">
      <w:pPr>
        <w:pStyle w:val="Prrafode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  <w:color w:val="000000" w:themeColor="text1"/>
          <w:sz w:val="24"/>
        </w:rPr>
      </w:pPr>
      <w:r w:rsidRPr="00870F9E">
        <w:rPr>
          <w:rFonts w:ascii="Arial" w:hAnsi="Arial"/>
          <w:color w:val="000000" w:themeColor="text1"/>
          <w:sz w:val="24"/>
        </w:rPr>
        <w:t xml:space="preserve">GURRIERI, </w:t>
      </w:r>
      <w:r w:rsidRPr="00870F9E">
        <w:rPr>
          <w:rFonts w:ascii="Arial" w:hAnsi="Arial"/>
          <w:iCs/>
          <w:color w:val="000000" w:themeColor="text1"/>
          <w:sz w:val="24"/>
        </w:rPr>
        <w:t>La Obra de Prebisch en la CEPAL</w:t>
      </w:r>
      <w:r w:rsidRPr="00870F9E">
        <w:rPr>
          <w:rFonts w:ascii="Arial" w:hAnsi="Arial"/>
          <w:color w:val="000000" w:themeColor="text1"/>
          <w:sz w:val="24"/>
        </w:rPr>
        <w:t xml:space="preserve">. Selección de Adolfo Gurrieri, </w:t>
      </w:r>
      <w:r w:rsidR="001401AD" w:rsidRPr="00870F9E">
        <w:rPr>
          <w:rFonts w:ascii="Arial" w:hAnsi="Arial"/>
          <w:color w:val="000000" w:themeColor="text1"/>
          <w:sz w:val="24"/>
        </w:rPr>
        <w:t>México</w:t>
      </w:r>
      <w:r w:rsidRPr="00870F9E">
        <w:rPr>
          <w:rFonts w:ascii="Arial" w:hAnsi="Arial"/>
          <w:color w:val="000000" w:themeColor="text1"/>
          <w:sz w:val="24"/>
        </w:rPr>
        <w:t>,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870F9E">
        <w:rPr>
          <w:rFonts w:ascii="Arial" w:hAnsi="Arial"/>
          <w:color w:val="000000" w:themeColor="text1"/>
          <w:sz w:val="24"/>
        </w:rPr>
        <w:t>Fondo de Cultura Económica, Colección Lecturas del Trimestre número 46, 1982.</w:t>
      </w:r>
    </w:p>
    <w:p w:rsidR="00870F9E" w:rsidRDefault="006130BB" w:rsidP="00870F9E">
      <w:pPr>
        <w:pStyle w:val="Prrafode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  <w:color w:val="000000" w:themeColor="text1"/>
          <w:sz w:val="24"/>
          <w:lang w:val="en-US"/>
        </w:rPr>
      </w:pPr>
      <w:r w:rsidRPr="00870F9E">
        <w:rPr>
          <w:rFonts w:ascii="Arial" w:hAnsi="Arial"/>
          <w:color w:val="000000" w:themeColor="text1"/>
          <w:sz w:val="24"/>
          <w:lang w:val="en-US"/>
        </w:rPr>
        <w:t>M. BUNGE, Treatise on Basic Philosophy, Volume 8 (</w:t>
      </w:r>
      <w:r w:rsidRPr="00870F9E">
        <w:rPr>
          <w:rFonts w:ascii="Arial" w:hAnsi="Arial"/>
          <w:iCs/>
          <w:color w:val="000000" w:themeColor="text1"/>
          <w:sz w:val="24"/>
          <w:lang w:val="en-US"/>
        </w:rPr>
        <w:t xml:space="preserve">The Good and the Right), </w:t>
      </w:r>
      <w:r w:rsidRPr="00870F9E">
        <w:rPr>
          <w:rFonts w:ascii="Arial" w:hAnsi="Arial"/>
          <w:color w:val="000000" w:themeColor="text1"/>
          <w:sz w:val="24"/>
          <w:lang w:val="en-US"/>
        </w:rPr>
        <w:t>Kluwer,</w:t>
      </w:r>
      <w:r w:rsidR="00870F9E">
        <w:rPr>
          <w:rFonts w:ascii="Arial" w:hAnsi="Arial"/>
          <w:color w:val="000000" w:themeColor="text1"/>
          <w:sz w:val="24"/>
          <w:lang w:val="en-US"/>
        </w:rPr>
        <w:t xml:space="preserve"> </w:t>
      </w:r>
      <w:r w:rsidRPr="00870F9E">
        <w:rPr>
          <w:rFonts w:ascii="Arial" w:hAnsi="Arial"/>
          <w:color w:val="000000" w:themeColor="text1"/>
          <w:sz w:val="24"/>
          <w:lang w:val="en-US"/>
        </w:rPr>
        <w:t>Netherlands, Academic Publishers, 1989.</w:t>
      </w:r>
    </w:p>
    <w:p w:rsidR="00870F9E" w:rsidRDefault="006130BB" w:rsidP="00870F9E">
      <w:pPr>
        <w:pStyle w:val="Prrafode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  <w:color w:val="000000" w:themeColor="text1"/>
          <w:sz w:val="24"/>
        </w:rPr>
      </w:pPr>
      <w:r w:rsidRPr="00870F9E">
        <w:rPr>
          <w:rFonts w:ascii="Arial" w:hAnsi="Arial"/>
          <w:color w:val="000000" w:themeColor="text1"/>
          <w:sz w:val="24"/>
        </w:rPr>
        <w:t>PINTO y A. DI FILIPPO, “Desarrollo y Pobrez</w:t>
      </w:r>
      <w:r w:rsidR="007F24B0" w:rsidRPr="00870F9E">
        <w:rPr>
          <w:rFonts w:ascii="Arial" w:hAnsi="Arial"/>
          <w:color w:val="000000" w:themeColor="text1"/>
          <w:sz w:val="24"/>
        </w:rPr>
        <w:t xml:space="preserve">a en América Latina: un enfoque </w:t>
      </w:r>
      <w:r w:rsidRPr="00870F9E">
        <w:rPr>
          <w:rFonts w:ascii="Arial" w:hAnsi="Arial"/>
          <w:color w:val="000000" w:themeColor="text1"/>
          <w:sz w:val="24"/>
        </w:rPr>
        <w:t>histórico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870F9E">
        <w:rPr>
          <w:rFonts w:ascii="Arial" w:hAnsi="Arial"/>
          <w:color w:val="000000" w:themeColor="text1"/>
          <w:sz w:val="24"/>
        </w:rPr>
        <w:t xml:space="preserve">estructural)”en revista </w:t>
      </w:r>
      <w:r w:rsidRPr="00870F9E">
        <w:rPr>
          <w:rFonts w:ascii="Arial" w:hAnsi="Arial"/>
          <w:iCs/>
          <w:color w:val="000000" w:themeColor="text1"/>
          <w:sz w:val="24"/>
        </w:rPr>
        <w:t xml:space="preserve">El trimestre Económico, </w:t>
      </w:r>
      <w:r w:rsidRPr="00870F9E">
        <w:rPr>
          <w:rFonts w:ascii="Arial" w:hAnsi="Arial"/>
          <w:color w:val="000000" w:themeColor="text1"/>
          <w:sz w:val="24"/>
        </w:rPr>
        <w:t>1979, número 183.</w:t>
      </w:r>
    </w:p>
    <w:p w:rsidR="00870F9E" w:rsidRDefault="006130BB" w:rsidP="00870F9E">
      <w:pPr>
        <w:pStyle w:val="Prrafode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  <w:color w:val="000000" w:themeColor="text1"/>
          <w:sz w:val="24"/>
        </w:rPr>
      </w:pPr>
      <w:r w:rsidRPr="00870F9E">
        <w:rPr>
          <w:rFonts w:ascii="Arial" w:hAnsi="Arial"/>
          <w:color w:val="000000" w:themeColor="text1"/>
          <w:sz w:val="24"/>
        </w:rPr>
        <w:t>R. PREBISCH, El Desarrollo Económico de América Latina y Algunos de sus Principales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870F9E">
        <w:rPr>
          <w:rFonts w:ascii="Arial" w:hAnsi="Arial"/>
          <w:color w:val="000000" w:themeColor="text1"/>
          <w:sz w:val="24"/>
        </w:rPr>
        <w:t>Problemas, Santiago, CEPAL, 1949.</w:t>
      </w:r>
    </w:p>
    <w:p w:rsidR="00A729B7" w:rsidRPr="00870F9E" w:rsidRDefault="006130BB" w:rsidP="00870F9E">
      <w:pPr>
        <w:pStyle w:val="Prrafode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/>
          <w:color w:val="000000" w:themeColor="text1"/>
          <w:sz w:val="24"/>
        </w:rPr>
      </w:pPr>
      <w:r w:rsidRPr="00870F9E">
        <w:rPr>
          <w:rFonts w:ascii="Arial" w:hAnsi="Arial"/>
          <w:color w:val="000000" w:themeColor="text1"/>
          <w:sz w:val="24"/>
        </w:rPr>
        <w:t xml:space="preserve">R. PREBISCH, </w:t>
      </w:r>
      <w:r w:rsidRPr="00870F9E">
        <w:rPr>
          <w:rFonts w:ascii="Arial" w:hAnsi="Arial"/>
          <w:iCs/>
          <w:color w:val="000000" w:themeColor="text1"/>
          <w:sz w:val="24"/>
        </w:rPr>
        <w:t>Capitalismo Periférico: Crisis y Transformación</w:t>
      </w:r>
      <w:r w:rsidRPr="00870F9E">
        <w:rPr>
          <w:rFonts w:ascii="Arial" w:hAnsi="Arial"/>
          <w:color w:val="000000" w:themeColor="text1"/>
          <w:sz w:val="24"/>
        </w:rPr>
        <w:t xml:space="preserve">, </w:t>
      </w:r>
      <w:r w:rsidR="001401AD" w:rsidRPr="00870F9E">
        <w:rPr>
          <w:rFonts w:ascii="Arial" w:hAnsi="Arial"/>
          <w:color w:val="000000" w:themeColor="text1"/>
          <w:sz w:val="24"/>
        </w:rPr>
        <w:t>México</w:t>
      </w:r>
      <w:r w:rsidRPr="00870F9E">
        <w:rPr>
          <w:rFonts w:ascii="Arial" w:hAnsi="Arial"/>
          <w:color w:val="000000" w:themeColor="text1"/>
          <w:sz w:val="24"/>
        </w:rPr>
        <w:t>, Fondo de Cultura</w:t>
      </w:r>
      <w:r w:rsidR="00870F9E">
        <w:rPr>
          <w:rFonts w:ascii="Arial" w:hAnsi="Arial"/>
          <w:color w:val="000000" w:themeColor="text1"/>
          <w:sz w:val="24"/>
        </w:rPr>
        <w:t xml:space="preserve"> </w:t>
      </w:r>
      <w:r w:rsidRPr="00870F9E">
        <w:rPr>
          <w:rFonts w:ascii="Arial" w:hAnsi="Arial"/>
          <w:color w:val="000000" w:themeColor="text1"/>
          <w:sz w:val="24"/>
        </w:rPr>
        <w:t>Económica, 1981.</w:t>
      </w:r>
    </w:p>
    <w:sectPr w:rsidR="00A729B7" w:rsidRPr="00870F9E" w:rsidSect="00614C5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154"/>
    <w:multiLevelType w:val="hybridMultilevel"/>
    <w:tmpl w:val="E9CA690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44B6"/>
    <w:multiLevelType w:val="multilevel"/>
    <w:tmpl w:val="9C58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45043"/>
    <w:multiLevelType w:val="hybridMultilevel"/>
    <w:tmpl w:val="DD545E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0DDD"/>
    <w:multiLevelType w:val="hybridMultilevel"/>
    <w:tmpl w:val="D87249F4"/>
    <w:lvl w:ilvl="0" w:tplc="22BE3552">
      <w:start w:val="1"/>
      <w:numFmt w:val="upperLetter"/>
      <w:lvlText w:val="%1."/>
      <w:lvlJc w:val="left"/>
      <w:pPr>
        <w:ind w:left="810" w:hanging="45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A7378"/>
    <w:multiLevelType w:val="hybridMultilevel"/>
    <w:tmpl w:val="64DE329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567C"/>
    <w:multiLevelType w:val="hybridMultilevel"/>
    <w:tmpl w:val="DF1261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7267D"/>
    <w:multiLevelType w:val="hybridMultilevel"/>
    <w:tmpl w:val="A96AB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B7B8D"/>
    <w:multiLevelType w:val="hybridMultilevel"/>
    <w:tmpl w:val="AE14BE3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B6932"/>
    <w:multiLevelType w:val="multilevel"/>
    <w:tmpl w:val="DEA2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11AE6"/>
    <w:multiLevelType w:val="hybridMultilevel"/>
    <w:tmpl w:val="A5BCA15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7F5A"/>
    <w:multiLevelType w:val="hybridMultilevel"/>
    <w:tmpl w:val="028C1B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61FBA"/>
    <w:multiLevelType w:val="hybridMultilevel"/>
    <w:tmpl w:val="6382ECC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A6604"/>
    <w:multiLevelType w:val="hybridMultilevel"/>
    <w:tmpl w:val="29DA0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B5FDF"/>
    <w:multiLevelType w:val="hybridMultilevel"/>
    <w:tmpl w:val="8BBA0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52"/>
    <w:rsid w:val="00011340"/>
    <w:rsid w:val="000136C7"/>
    <w:rsid w:val="000445B6"/>
    <w:rsid w:val="0008615C"/>
    <w:rsid w:val="00096FC1"/>
    <w:rsid w:val="000B0126"/>
    <w:rsid w:val="000E77E3"/>
    <w:rsid w:val="000F3AFA"/>
    <w:rsid w:val="000F4679"/>
    <w:rsid w:val="00110FA4"/>
    <w:rsid w:val="00113CB1"/>
    <w:rsid w:val="001401AD"/>
    <w:rsid w:val="00196A93"/>
    <w:rsid w:val="001A0C5F"/>
    <w:rsid w:val="001D2975"/>
    <w:rsid w:val="002239D0"/>
    <w:rsid w:val="002404AC"/>
    <w:rsid w:val="00281602"/>
    <w:rsid w:val="002A0892"/>
    <w:rsid w:val="002C05EF"/>
    <w:rsid w:val="00312D77"/>
    <w:rsid w:val="00351F8C"/>
    <w:rsid w:val="00390558"/>
    <w:rsid w:val="003A46C1"/>
    <w:rsid w:val="003E2899"/>
    <w:rsid w:val="0043044F"/>
    <w:rsid w:val="0044400C"/>
    <w:rsid w:val="0045228C"/>
    <w:rsid w:val="004C67BC"/>
    <w:rsid w:val="00501DEE"/>
    <w:rsid w:val="00543EA0"/>
    <w:rsid w:val="005856C1"/>
    <w:rsid w:val="005E0DF0"/>
    <w:rsid w:val="006130BB"/>
    <w:rsid w:val="00614C52"/>
    <w:rsid w:val="0076711E"/>
    <w:rsid w:val="007F24B0"/>
    <w:rsid w:val="00844713"/>
    <w:rsid w:val="00870F9E"/>
    <w:rsid w:val="008D7FD7"/>
    <w:rsid w:val="00944DAA"/>
    <w:rsid w:val="009A34B6"/>
    <w:rsid w:val="009B2E3C"/>
    <w:rsid w:val="009C116F"/>
    <w:rsid w:val="009E0019"/>
    <w:rsid w:val="009F7FD0"/>
    <w:rsid w:val="00A729B7"/>
    <w:rsid w:val="00A74237"/>
    <w:rsid w:val="00AE6555"/>
    <w:rsid w:val="00AF10EE"/>
    <w:rsid w:val="00B7697A"/>
    <w:rsid w:val="00B77296"/>
    <w:rsid w:val="00BA0F3A"/>
    <w:rsid w:val="00BD0D9D"/>
    <w:rsid w:val="00BE0D95"/>
    <w:rsid w:val="00C51884"/>
    <w:rsid w:val="00C85D86"/>
    <w:rsid w:val="00CA38D9"/>
    <w:rsid w:val="00CB2144"/>
    <w:rsid w:val="00CC346A"/>
    <w:rsid w:val="00CE0F98"/>
    <w:rsid w:val="00CF3445"/>
    <w:rsid w:val="00D1321D"/>
    <w:rsid w:val="00D70723"/>
    <w:rsid w:val="00DC784B"/>
    <w:rsid w:val="00E35D3E"/>
    <w:rsid w:val="00E45A89"/>
    <w:rsid w:val="00EB40D6"/>
    <w:rsid w:val="00EF0351"/>
    <w:rsid w:val="00F203FD"/>
    <w:rsid w:val="00F33C68"/>
    <w:rsid w:val="00F9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2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2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2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2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9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3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69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5157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revilla</dc:creator>
  <cp:lastModifiedBy>nohemy</cp:lastModifiedBy>
  <cp:revision>2</cp:revision>
  <cp:lastPrinted>2014-08-27T19:22:00Z</cp:lastPrinted>
  <dcterms:created xsi:type="dcterms:W3CDTF">2014-10-15T19:35:00Z</dcterms:created>
  <dcterms:modified xsi:type="dcterms:W3CDTF">2014-10-15T19:35:00Z</dcterms:modified>
</cp:coreProperties>
</file>